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2DE" w:rsidRDefault="008909E5" w:rsidP="006E5438">
      <w:pPr>
        <w:jc w:val="center"/>
        <w:rPr>
          <w:b/>
          <w:caps/>
          <w:sz w:val="28"/>
          <w:szCs w:val="28"/>
        </w:rPr>
      </w:pPr>
      <w:bookmarkStart w:id="0" w:name="_GoBack"/>
      <w:bookmarkEnd w:id="0"/>
      <w:r w:rsidRPr="006522DE">
        <w:rPr>
          <w:b/>
          <w:caps/>
          <w:sz w:val="28"/>
          <w:szCs w:val="28"/>
        </w:rPr>
        <w:t>Ústav farmakologie a toxikologie</w:t>
      </w:r>
    </w:p>
    <w:p w:rsidR="008909E5" w:rsidRPr="006522DE" w:rsidRDefault="008909E5" w:rsidP="006E5438">
      <w:pPr>
        <w:jc w:val="center"/>
        <w:rPr>
          <w:b/>
          <w:caps/>
          <w:sz w:val="28"/>
          <w:szCs w:val="28"/>
        </w:rPr>
      </w:pPr>
      <w:r w:rsidRPr="006522DE">
        <w:rPr>
          <w:b/>
          <w:caps/>
          <w:sz w:val="28"/>
          <w:szCs w:val="28"/>
        </w:rPr>
        <w:t xml:space="preserve">Department of </w:t>
      </w:r>
      <w:r w:rsidR="008E153C" w:rsidRPr="006522DE">
        <w:rPr>
          <w:b/>
          <w:caps/>
          <w:sz w:val="28"/>
          <w:szCs w:val="28"/>
        </w:rPr>
        <w:t>P</w:t>
      </w:r>
      <w:r w:rsidRPr="006522DE">
        <w:rPr>
          <w:b/>
          <w:caps/>
          <w:sz w:val="28"/>
          <w:szCs w:val="28"/>
        </w:rPr>
        <w:t xml:space="preserve">harmacology and </w:t>
      </w:r>
      <w:r w:rsidR="008E153C" w:rsidRPr="006522DE">
        <w:rPr>
          <w:b/>
          <w:caps/>
          <w:sz w:val="28"/>
          <w:szCs w:val="28"/>
        </w:rPr>
        <w:t>T</w:t>
      </w:r>
      <w:r w:rsidRPr="006522DE">
        <w:rPr>
          <w:b/>
          <w:caps/>
          <w:sz w:val="28"/>
          <w:szCs w:val="28"/>
        </w:rPr>
        <w:t>oxicology</w:t>
      </w:r>
    </w:p>
    <w:p w:rsidR="008909E5" w:rsidRPr="006522DE" w:rsidRDefault="008909E5" w:rsidP="008909E5">
      <w:pPr>
        <w:rPr>
          <w:b/>
          <w:sz w:val="24"/>
          <w:szCs w:val="24"/>
        </w:rPr>
      </w:pPr>
      <w:r w:rsidRPr="006522DE">
        <w:rPr>
          <w:b/>
          <w:sz w:val="24"/>
          <w:szCs w:val="24"/>
        </w:rPr>
        <w:t>ZIMNÍ SEMESTR / WINTER SEMESTR</w:t>
      </w:r>
    </w:p>
    <w:p w:rsidR="008E153C" w:rsidRPr="006522DE" w:rsidRDefault="008909E5" w:rsidP="008909E5">
      <w:pPr>
        <w:rPr>
          <w:b/>
          <w:sz w:val="24"/>
          <w:szCs w:val="24"/>
        </w:rPr>
      </w:pPr>
      <w:r w:rsidRPr="006522DE">
        <w:rPr>
          <w:b/>
          <w:sz w:val="24"/>
          <w:szCs w:val="24"/>
        </w:rPr>
        <w:t>Farmakologie II (E0107015) – Sylabus / Pharmacology II (EA0107015)</w:t>
      </w:r>
      <w:r w:rsidR="008E153C" w:rsidRPr="006522DE">
        <w:rPr>
          <w:b/>
          <w:sz w:val="24"/>
          <w:szCs w:val="24"/>
        </w:rPr>
        <w:t xml:space="preserve"> – Syllabus</w:t>
      </w:r>
    </w:p>
    <w:tbl>
      <w:tblPr>
        <w:tblStyle w:val="Mkatabulky"/>
        <w:tblW w:w="0" w:type="auto"/>
        <w:tblLook w:val="04A0" w:firstRow="1" w:lastRow="0" w:firstColumn="1" w:lastColumn="0" w:noHBand="0" w:noVBand="1"/>
      </w:tblPr>
      <w:tblGrid>
        <w:gridCol w:w="460"/>
        <w:gridCol w:w="1230"/>
        <w:gridCol w:w="1151"/>
        <w:gridCol w:w="861"/>
        <w:gridCol w:w="2916"/>
        <w:gridCol w:w="2444"/>
      </w:tblGrid>
      <w:tr w:rsidR="005321C9" w:rsidRPr="005321C9" w:rsidTr="005321C9">
        <w:trPr>
          <w:trHeight w:val="600"/>
        </w:trPr>
        <w:tc>
          <w:tcPr>
            <w:tcW w:w="460" w:type="dxa"/>
            <w:vAlign w:val="center"/>
            <w:hideMark/>
          </w:tcPr>
          <w:p w:rsidR="005321C9" w:rsidRPr="005321C9" w:rsidRDefault="005321C9" w:rsidP="005321C9">
            <w:pPr>
              <w:jc w:val="center"/>
            </w:pPr>
            <w:r w:rsidRPr="005321C9">
              <w:t>1</w:t>
            </w:r>
          </w:p>
        </w:tc>
        <w:tc>
          <w:tcPr>
            <w:tcW w:w="1230" w:type="dxa"/>
            <w:vAlign w:val="center"/>
            <w:hideMark/>
          </w:tcPr>
          <w:p w:rsidR="005321C9" w:rsidRDefault="005321C9" w:rsidP="005321C9">
            <w:pPr>
              <w:jc w:val="center"/>
            </w:pPr>
            <w:r w:rsidRPr="005321C9">
              <w:t>08.10.</w:t>
            </w:r>
          </w:p>
          <w:p w:rsidR="005321C9" w:rsidRPr="005321C9" w:rsidRDefault="005321C9" w:rsidP="005321C9">
            <w:pPr>
              <w:jc w:val="center"/>
            </w:pPr>
            <w:r w:rsidRPr="005321C9">
              <w:t>2020</w:t>
            </w:r>
          </w:p>
        </w:tc>
        <w:tc>
          <w:tcPr>
            <w:tcW w:w="1151" w:type="dxa"/>
            <w:vAlign w:val="center"/>
            <w:hideMark/>
          </w:tcPr>
          <w:p w:rsidR="005321C9" w:rsidRPr="005321C9" w:rsidRDefault="005321C9" w:rsidP="005321C9">
            <w:pPr>
              <w:jc w:val="center"/>
            </w:pPr>
            <w:r w:rsidRPr="005321C9">
              <w:t>10:10-12:40h</w:t>
            </w:r>
          </w:p>
        </w:tc>
        <w:tc>
          <w:tcPr>
            <w:tcW w:w="861" w:type="dxa"/>
            <w:vAlign w:val="center"/>
            <w:hideMark/>
          </w:tcPr>
          <w:p w:rsidR="005321C9" w:rsidRPr="005321C9" w:rsidRDefault="005321C9" w:rsidP="005321C9">
            <w:pPr>
              <w:jc w:val="center"/>
            </w:pPr>
            <w:r w:rsidRPr="005321C9">
              <w:t>Česky</w:t>
            </w:r>
          </w:p>
        </w:tc>
        <w:tc>
          <w:tcPr>
            <w:tcW w:w="2916" w:type="dxa"/>
            <w:vAlign w:val="center"/>
            <w:hideMark/>
          </w:tcPr>
          <w:p w:rsidR="005321C9" w:rsidRPr="005321C9" w:rsidRDefault="005321C9" w:rsidP="005321C9">
            <w:pPr>
              <w:jc w:val="center"/>
            </w:pPr>
            <w:r w:rsidRPr="005321C9">
              <w:t>ANTIMIKROBIÁLNÍ LÉČIVA - OBECNÝ PŘEHLED, REZISTENCE</w:t>
            </w:r>
          </w:p>
        </w:tc>
        <w:tc>
          <w:tcPr>
            <w:tcW w:w="2444" w:type="dxa"/>
            <w:vAlign w:val="center"/>
            <w:hideMark/>
          </w:tcPr>
          <w:p w:rsidR="005321C9" w:rsidRPr="005321C9" w:rsidRDefault="005321C9" w:rsidP="005321C9">
            <w:pPr>
              <w:jc w:val="center"/>
            </w:pPr>
            <w:r w:rsidRPr="005321C9">
              <w:t>MUDr. Tamara Bergerová</w:t>
            </w:r>
          </w:p>
        </w:tc>
      </w:tr>
    </w:tbl>
    <w:p w:rsidR="005321C9" w:rsidRDefault="005321C9" w:rsidP="004747E4">
      <w:r w:rsidRPr="005321C9">
        <w:t>Antiinfektiva – dělení, terminologie; Antibiotika - mechanismy účinku, PK/PD parametry; rezistence; zásady antibiotické léčby a profylaxe; antimicrobial stewardship; kompetence v preskripci antibiotik.</w:t>
      </w:r>
    </w:p>
    <w:p w:rsidR="005321C9" w:rsidRDefault="005321C9" w:rsidP="004747E4"/>
    <w:tbl>
      <w:tblPr>
        <w:tblStyle w:val="Mkatabulky"/>
        <w:tblW w:w="0" w:type="auto"/>
        <w:tblLook w:val="04A0" w:firstRow="1" w:lastRow="0" w:firstColumn="1" w:lastColumn="0" w:noHBand="0" w:noVBand="1"/>
      </w:tblPr>
      <w:tblGrid>
        <w:gridCol w:w="530"/>
        <w:gridCol w:w="1015"/>
        <w:gridCol w:w="1170"/>
        <w:gridCol w:w="926"/>
        <w:gridCol w:w="2887"/>
        <w:gridCol w:w="2534"/>
      </w:tblGrid>
      <w:tr w:rsidR="005321C9" w:rsidRPr="005321C9" w:rsidTr="005321C9">
        <w:trPr>
          <w:trHeight w:val="600"/>
        </w:trPr>
        <w:tc>
          <w:tcPr>
            <w:tcW w:w="530" w:type="dxa"/>
            <w:vAlign w:val="center"/>
            <w:hideMark/>
          </w:tcPr>
          <w:p w:rsidR="005321C9" w:rsidRPr="005321C9" w:rsidRDefault="005321C9" w:rsidP="005321C9">
            <w:pPr>
              <w:jc w:val="center"/>
            </w:pPr>
            <w:r w:rsidRPr="005321C9">
              <w:t>1A</w:t>
            </w:r>
          </w:p>
        </w:tc>
        <w:tc>
          <w:tcPr>
            <w:tcW w:w="1015" w:type="dxa"/>
            <w:vAlign w:val="center"/>
            <w:hideMark/>
          </w:tcPr>
          <w:p w:rsidR="005321C9" w:rsidRDefault="005321C9" w:rsidP="005321C9">
            <w:pPr>
              <w:jc w:val="center"/>
            </w:pPr>
            <w:r w:rsidRPr="005321C9">
              <w:t>13.10.</w:t>
            </w:r>
          </w:p>
          <w:p w:rsidR="005321C9" w:rsidRPr="005321C9" w:rsidRDefault="005321C9" w:rsidP="005321C9">
            <w:pPr>
              <w:jc w:val="center"/>
            </w:pPr>
            <w:r w:rsidRPr="005321C9">
              <w:t>2020</w:t>
            </w:r>
          </w:p>
        </w:tc>
        <w:tc>
          <w:tcPr>
            <w:tcW w:w="1170" w:type="dxa"/>
            <w:vAlign w:val="center"/>
            <w:hideMark/>
          </w:tcPr>
          <w:p w:rsidR="005321C9" w:rsidRPr="005321C9" w:rsidRDefault="005321C9" w:rsidP="005321C9">
            <w:pPr>
              <w:jc w:val="center"/>
            </w:pPr>
            <w:r w:rsidRPr="005321C9">
              <w:t>9:15-12:35h</w:t>
            </w:r>
          </w:p>
        </w:tc>
        <w:tc>
          <w:tcPr>
            <w:tcW w:w="926" w:type="dxa"/>
            <w:vAlign w:val="center"/>
            <w:hideMark/>
          </w:tcPr>
          <w:p w:rsidR="005321C9" w:rsidRPr="005321C9" w:rsidRDefault="005321C9" w:rsidP="005321C9">
            <w:pPr>
              <w:jc w:val="center"/>
            </w:pPr>
            <w:r w:rsidRPr="005321C9">
              <w:t>English</w:t>
            </w:r>
          </w:p>
        </w:tc>
        <w:tc>
          <w:tcPr>
            <w:tcW w:w="2887" w:type="dxa"/>
            <w:vAlign w:val="center"/>
            <w:hideMark/>
          </w:tcPr>
          <w:p w:rsidR="005321C9" w:rsidRPr="005321C9" w:rsidRDefault="005321C9" w:rsidP="005321C9">
            <w:pPr>
              <w:jc w:val="center"/>
            </w:pPr>
            <w:r w:rsidRPr="005321C9">
              <w:t>ANTIMICROBIAL DRUGS - GENERAL OVERVIEW, RESISTANCE</w:t>
            </w:r>
          </w:p>
        </w:tc>
        <w:tc>
          <w:tcPr>
            <w:tcW w:w="2534" w:type="dxa"/>
            <w:vAlign w:val="center"/>
            <w:hideMark/>
          </w:tcPr>
          <w:p w:rsidR="005321C9" w:rsidRPr="005321C9" w:rsidRDefault="005321C9" w:rsidP="005321C9">
            <w:pPr>
              <w:jc w:val="center"/>
            </w:pPr>
            <w:r w:rsidRPr="005321C9">
              <w:t>MUDr. Anna Šrámková, Ph.D.</w:t>
            </w:r>
          </w:p>
        </w:tc>
      </w:tr>
    </w:tbl>
    <w:p w:rsidR="005321C9" w:rsidRDefault="005321C9" w:rsidP="00B15745">
      <w:pPr>
        <w:jc w:val="both"/>
      </w:pPr>
      <w:r w:rsidRPr="005321C9">
        <w:t>Antiinfectives – classification, terminology; antibiotics – mechanisms of action, PK/PD parameters, resistance; prudent use in therapy and prophylaxis; antimicrobial stewardship, competencies in antimicrobial prescriptions</w:t>
      </w:r>
    </w:p>
    <w:p w:rsidR="005321C9" w:rsidRDefault="005321C9" w:rsidP="004747E4"/>
    <w:tbl>
      <w:tblPr>
        <w:tblStyle w:val="Mkatabulky"/>
        <w:tblW w:w="0" w:type="auto"/>
        <w:tblLook w:val="04A0" w:firstRow="1" w:lastRow="0" w:firstColumn="1" w:lastColumn="0" w:noHBand="0" w:noVBand="1"/>
      </w:tblPr>
      <w:tblGrid>
        <w:gridCol w:w="471"/>
        <w:gridCol w:w="1019"/>
        <w:gridCol w:w="1176"/>
        <w:gridCol w:w="872"/>
        <w:gridCol w:w="2976"/>
        <w:gridCol w:w="2548"/>
      </w:tblGrid>
      <w:tr w:rsidR="005321C9" w:rsidRPr="005321C9" w:rsidTr="005321C9">
        <w:trPr>
          <w:trHeight w:val="300"/>
        </w:trPr>
        <w:tc>
          <w:tcPr>
            <w:tcW w:w="471" w:type="dxa"/>
            <w:vAlign w:val="center"/>
            <w:hideMark/>
          </w:tcPr>
          <w:p w:rsidR="005321C9" w:rsidRPr="005321C9" w:rsidRDefault="005321C9" w:rsidP="005321C9">
            <w:pPr>
              <w:jc w:val="center"/>
            </w:pPr>
            <w:r w:rsidRPr="005321C9">
              <w:t>2</w:t>
            </w:r>
          </w:p>
        </w:tc>
        <w:tc>
          <w:tcPr>
            <w:tcW w:w="1019" w:type="dxa"/>
            <w:vAlign w:val="center"/>
            <w:hideMark/>
          </w:tcPr>
          <w:p w:rsidR="005321C9" w:rsidRDefault="005321C9" w:rsidP="005321C9">
            <w:pPr>
              <w:jc w:val="center"/>
            </w:pPr>
            <w:r w:rsidRPr="005321C9">
              <w:t>15.10.</w:t>
            </w:r>
          </w:p>
          <w:p w:rsidR="005321C9" w:rsidRPr="005321C9" w:rsidRDefault="005321C9" w:rsidP="005321C9">
            <w:pPr>
              <w:jc w:val="center"/>
            </w:pPr>
            <w:r w:rsidRPr="005321C9">
              <w:t>2020</w:t>
            </w:r>
          </w:p>
        </w:tc>
        <w:tc>
          <w:tcPr>
            <w:tcW w:w="1176" w:type="dxa"/>
            <w:vAlign w:val="center"/>
            <w:hideMark/>
          </w:tcPr>
          <w:p w:rsidR="005321C9" w:rsidRPr="005321C9" w:rsidRDefault="005321C9" w:rsidP="005321C9">
            <w:pPr>
              <w:jc w:val="center"/>
            </w:pPr>
            <w:r w:rsidRPr="005321C9">
              <w:t>10:10-12:40h</w:t>
            </w:r>
          </w:p>
        </w:tc>
        <w:tc>
          <w:tcPr>
            <w:tcW w:w="872" w:type="dxa"/>
            <w:vAlign w:val="center"/>
            <w:hideMark/>
          </w:tcPr>
          <w:p w:rsidR="005321C9" w:rsidRPr="005321C9" w:rsidRDefault="005321C9" w:rsidP="005321C9">
            <w:pPr>
              <w:jc w:val="center"/>
            </w:pPr>
            <w:r w:rsidRPr="005321C9">
              <w:t>Česky</w:t>
            </w:r>
          </w:p>
        </w:tc>
        <w:tc>
          <w:tcPr>
            <w:tcW w:w="2976" w:type="dxa"/>
            <w:vAlign w:val="center"/>
            <w:hideMark/>
          </w:tcPr>
          <w:p w:rsidR="005321C9" w:rsidRPr="005321C9" w:rsidRDefault="005321C9" w:rsidP="005321C9">
            <w:pPr>
              <w:jc w:val="center"/>
            </w:pPr>
            <w:r w:rsidRPr="005321C9">
              <w:t>ANTIBAKTERIÁLNÍ LÉČIVA - ANTIBIOTIKA</w:t>
            </w:r>
          </w:p>
        </w:tc>
        <w:tc>
          <w:tcPr>
            <w:tcW w:w="2548" w:type="dxa"/>
            <w:vAlign w:val="center"/>
            <w:hideMark/>
          </w:tcPr>
          <w:p w:rsidR="005321C9" w:rsidRPr="005321C9" w:rsidRDefault="005321C9" w:rsidP="005321C9">
            <w:pPr>
              <w:jc w:val="center"/>
            </w:pPr>
            <w:r w:rsidRPr="005321C9">
              <w:t>MUDr. Tamara Bergerová</w:t>
            </w:r>
          </w:p>
        </w:tc>
      </w:tr>
    </w:tbl>
    <w:p w:rsidR="005321C9" w:rsidRDefault="005321C9" w:rsidP="004747E4">
      <w:r w:rsidRPr="005321C9">
        <w:t>Skupiny antibiotik – charakteristika, spektrum účinku, nežádoucí účinky, indikace.</w:t>
      </w:r>
    </w:p>
    <w:p w:rsidR="005321C9" w:rsidRDefault="005321C9" w:rsidP="004747E4"/>
    <w:tbl>
      <w:tblPr>
        <w:tblStyle w:val="Mkatabulky"/>
        <w:tblW w:w="0" w:type="auto"/>
        <w:tblLook w:val="04A0" w:firstRow="1" w:lastRow="0" w:firstColumn="1" w:lastColumn="0" w:noHBand="0" w:noVBand="1"/>
      </w:tblPr>
      <w:tblGrid>
        <w:gridCol w:w="531"/>
        <w:gridCol w:w="1017"/>
        <w:gridCol w:w="1172"/>
        <w:gridCol w:w="926"/>
        <w:gridCol w:w="2873"/>
        <w:gridCol w:w="2543"/>
      </w:tblGrid>
      <w:tr w:rsidR="005321C9" w:rsidRPr="005321C9" w:rsidTr="005321C9">
        <w:trPr>
          <w:trHeight w:val="300"/>
        </w:trPr>
        <w:tc>
          <w:tcPr>
            <w:tcW w:w="531" w:type="dxa"/>
            <w:vAlign w:val="center"/>
            <w:hideMark/>
          </w:tcPr>
          <w:p w:rsidR="005321C9" w:rsidRPr="005321C9" w:rsidRDefault="005321C9" w:rsidP="005321C9">
            <w:pPr>
              <w:jc w:val="center"/>
            </w:pPr>
            <w:r w:rsidRPr="005321C9">
              <w:t>2A</w:t>
            </w:r>
          </w:p>
        </w:tc>
        <w:tc>
          <w:tcPr>
            <w:tcW w:w="1017" w:type="dxa"/>
            <w:vAlign w:val="center"/>
            <w:hideMark/>
          </w:tcPr>
          <w:p w:rsidR="005321C9" w:rsidRDefault="005321C9" w:rsidP="005321C9">
            <w:pPr>
              <w:jc w:val="center"/>
            </w:pPr>
            <w:r w:rsidRPr="005321C9">
              <w:t>20.10.</w:t>
            </w:r>
          </w:p>
          <w:p w:rsidR="005321C9" w:rsidRPr="005321C9" w:rsidRDefault="005321C9" w:rsidP="005321C9">
            <w:pPr>
              <w:jc w:val="center"/>
            </w:pPr>
            <w:r w:rsidRPr="005321C9">
              <w:t>2020</w:t>
            </w:r>
          </w:p>
        </w:tc>
        <w:tc>
          <w:tcPr>
            <w:tcW w:w="1172" w:type="dxa"/>
            <w:vAlign w:val="center"/>
            <w:hideMark/>
          </w:tcPr>
          <w:p w:rsidR="005321C9" w:rsidRPr="005321C9" w:rsidRDefault="005321C9" w:rsidP="005321C9">
            <w:pPr>
              <w:jc w:val="center"/>
            </w:pPr>
            <w:r w:rsidRPr="005321C9">
              <w:t>9:15-12:35h</w:t>
            </w:r>
          </w:p>
        </w:tc>
        <w:tc>
          <w:tcPr>
            <w:tcW w:w="926" w:type="dxa"/>
            <w:vAlign w:val="center"/>
            <w:hideMark/>
          </w:tcPr>
          <w:p w:rsidR="005321C9" w:rsidRPr="005321C9" w:rsidRDefault="005321C9" w:rsidP="005321C9">
            <w:pPr>
              <w:jc w:val="center"/>
            </w:pPr>
            <w:r w:rsidRPr="005321C9">
              <w:t>English</w:t>
            </w:r>
          </w:p>
        </w:tc>
        <w:tc>
          <w:tcPr>
            <w:tcW w:w="2873" w:type="dxa"/>
            <w:vAlign w:val="center"/>
            <w:hideMark/>
          </w:tcPr>
          <w:p w:rsidR="005321C9" w:rsidRPr="005321C9" w:rsidRDefault="005321C9" w:rsidP="005321C9">
            <w:pPr>
              <w:jc w:val="center"/>
            </w:pPr>
            <w:r w:rsidRPr="005321C9">
              <w:t>ANTIBACTERIAL DRUGS - ANTIBIOTICS</w:t>
            </w:r>
          </w:p>
        </w:tc>
        <w:tc>
          <w:tcPr>
            <w:tcW w:w="2543" w:type="dxa"/>
            <w:vAlign w:val="center"/>
            <w:hideMark/>
          </w:tcPr>
          <w:p w:rsidR="005321C9" w:rsidRPr="005321C9" w:rsidRDefault="005321C9" w:rsidP="005321C9">
            <w:pPr>
              <w:jc w:val="center"/>
            </w:pPr>
            <w:r w:rsidRPr="005321C9">
              <w:t>MUDr. Anna Šrámková, Ph.D.</w:t>
            </w:r>
          </w:p>
        </w:tc>
      </w:tr>
    </w:tbl>
    <w:p w:rsidR="005321C9" w:rsidRDefault="005321C9" w:rsidP="004747E4">
      <w:r w:rsidRPr="005321C9">
        <w:t>Antibiotic groups – characteristics, spectrum of activity, side effects, indications.</w:t>
      </w:r>
    </w:p>
    <w:p w:rsidR="005321C9" w:rsidRDefault="005321C9" w:rsidP="004747E4"/>
    <w:tbl>
      <w:tblPr>
        <w:tblStyle w:val="Mkatabulky"/>
        <w:tblW w:w="0" w:type="auto"/>
        <w:tblLook w:val="04A0" w:firstRow="1" w:lastRow="0" w:firstColumn="1" w:lastColumn="0" w:noHBand="0" w:noVBand="1"/>
      </w:tblPr>
      <w:tblGrid>
        <w:gridCol w:w="474"/>
        <w:gridCol w:w="797"/>
        <w:gridCol w:w="992"/>
        <w:gridCol w:w="851"/>
        <w:gridCol w:w="3372"/>
        <w:gridCol w:w="2576"/>
      </w:tblGrid>
      <w:tr w:rsidR="005321C9" w:rsidRPr="005321C9" w:rsidTr="00B14F35">
        <w:trPr>
          <w:trHeight w:val="915"/>
        </w:trPr>
        <w:tc>
          <w:tcPr>
            <w:tcW w:w="474" w:type="dxa"/>
            <w:vAlign w:val="center"/>
            <w:hideMark/>
          </w:tcPr>
          <w:p w:rsidR="005321C9" w:rsidRPr="005321C9" w:rsidRDefault="005321C9" w:rsidP="005321C9">
            <w:pPr>
              <w:jc w:val="center"/>
            </w:pPr>
            <w:r w:rsidRPr="005321C9">
              <w:t>3</w:t>
            </w:r>
          </w:p>
        </w:tc>
        <w:tc>
          <w:tcPr>
            <w:tcW w:w="797" w:type="dxa"/>
            <w:vAlign w:val="center"/>
            <w:hideMark/>
          </w:tcPr>
          <w:p w:rsidR="005321C9" w:rsidRDefault="005321C9" w:rsidP="005321C9">
            <w:pPr>
              <w:jc w:val="center"/>
            </w:pPr>
            <w:r w:rsidRPr="005321C9">
              <w:t>22.10.</w:t>
            </w:r>
          </w:p>
          <w:p w:rsidR="005321C9" w:rsidRPr="005321C9" w:rsidRDefault="005321C9" w:rsidP="005321C9">
            <w:pPr>
              <w:jc w:val="center"/>
            </w:pPr>
            <w:r w:rsidRPr="005321C9">
              <w:t>2020</w:t>
            </w:r>
          </w:p>
        </w:tc>
        <w:tc>
          <w:tcPr>
            <w:tcW w:w="992" w:type="dxa"/>
            <w:vAlign w:val="center"/>
            <w:hideMark/>
          </w:tcPr>
          <w:p w:rsidR="005321C9" w:rsidRPr="005321C9" w:rsidRDefault="005321C9" w:rsidP="005321C9">
            <w:pPr>
              <w:jc w:val="center"/>
            </w:pPr>
            <w:r w:rsidRPr="005321C9">
              <w:t>10:10-12:40h</w:t>
            </w:r>
          </w:p>
        </w:tc>
        <w:tc>
          <w:tcPr>
            <w:tcW w:w="851" w:type="dxa"/>
            <w:vAlign w:val="center"/>
            <w:hideMark/>
          </w:tcPr>
          <w:p w:rsidR="005321C9" w:rsidRPr="005321C9" w:rsidRDefault="005321C9" w:rsidP="005321C9">
            <w:pPr>
              <w:jc w:val="center"/>
            </w:pPr>
            <w:r w:rsidRPr="005321C9">
              <w:t>Česky</w:t>
            </w:r>
          </w:p>
        </w:tc>
        <w:tc>
          <w:tcPr>
            <w:tcW w:w="3372" w:type="dxa"/>
            <w:vAlign w:val="center"/>
            <w:hideMark/>
          </w:tcPr>
          <w:p w:rsidR="005321C9" w:rsidRPr="005321C9" w:rsidRDefault="005321C9" w:rsidP="005321C9">
            <w:pPr>
              <w:jc w:val="center"/>
            </w:pPr>
            <w:r w:rsidRPr="005321C9">
              <w:t>LÉČIVA U VIROVÝCH, MYKOTICKÝCH A PARAZITÁRNÍCH ONEMOCNĚNÍ. DESINFICIENCIA A ANTISEPTIKA</w:t>
            </w:r>
          </w:p>
        </w:tc>
        <w:tc>
          <w:tcPr>
            <w:tcW w:w="2576" w:type="dxa"/>
            <w:vAlign w:val="center"/>
            <w:hideMark/>
          </w:tcPr>
          <w:p w:rsidR="005321C9" w:rsidRPr="005321C9" w:rsidRDefault="005321C9" w:rsidP="005321C9">
            <w:pPr>
              <w:jc w:val="center"/>
            </w:pPr>
            <w:r w:rsidRPr="005321C9">
              <w:t>MUDr. Tamara Bergerová</w:t>
            </w:r>
          </w:p>
        </w:tc>
      </w:tr>
    </w:tbl>
    <w:p w:rsidR="005321C9" w:rsidRDefault="00B14F35" w:rsidP="004747E4">
      <w:r w:rsidRPr="00B14F35">
        <w:t>Antimykotika, antivirotika, antiparazitika – mechanismy účinku, charakteristika, indikace. Antiseptika a desinficiencia.</w:t>
      </w:r>
    </w:p>
    <w:p w:rsidR="00B14F35" w:rsidRDefault="00B14F35" w:rsidP="004747E4"/>
    <w:tbl>
      <w:tblPr>
        <w:tblStyle w:val="Mkatabulky"/>
        <w:tblW w:w="0" w:type="auto"/>
        <w:tblLook w:val="04A0" w:firstRow="1" w:lastRow="0" w:firstColumn="1" w:lastColumn="0" w:noHBand="0" w:noVBand="1"/>
      </w:tblPr>
      <w:tblGrid>
        <w:gridCol w:w="526"/>
        <w:gridCol w:w="999"/>
        <w:gridCol w:w="1147"/>
        <w:gridCol w:w="920"/>
        <w:gridCol w:w="3032"/>
        <w:gridCol w:w="2438"/>
      </w:tblGrid>
      <w:tr w:rsidR="00B14F35" w:rsidRPr="00B14F35" w:rsidTr="00B14F35">
        <w:trPr>
          <w:trHeight w:val="900"/>
        </w:trPr>
        <w:tc>
          <w:tcPr>
            <w:tcW w:w="526" w:type="dxa"/>
            <w:vAlign w:val="center"/>
            <w:hideMark/>
          </w:tcPr>
          <w:p w:rsidR="00B14F35" w:rsidRPr="00B14F35" w:rsidRDefault="00B14F35" w:rsidP="00B14F35">
            <w:pPr>
              <w:jc w:val="center"/>
            </w:pPr>
            <w:r w:rsidRPr="00B14F35">
              <w:t>3A</w:t>
            </w:r>
          </w:p>
        </w:tc>
        <w:tc>
          <w:tcPr>
            <w:tcW w:w="999" w:type="dxa"/>
            <w:vAlign w:val="center"/>
            <w:hideMark/>
          </w:tcPr>
          <w:p w:rsidR="00B14F35" w:rsidRDefault="00B14F35" w:rsidP="00B14F35">
            <w:pPr>
              <w:jc w:val="center"/>
            </w:pPr>
            <w:r w:rsidRPr="00B14F35">
              <w:t>27.10.</w:t>
            </w:r>
          </w:p>
          <w:p w:rsidR="00B14F35" w:rsidRPr="00B14F35" w:rsidRDefault="00B14F35" w:rsidP="00B14F35">
            <w:pPr>
              <w:jc w:val="center"/>
            </w:pPr>
            <w:r w:rsidRPr="00B14F35">
              <w:t>2020</w:t>
            </w:r>
          </w:p>
        </w:tc>
        <w:tc>
          <w:tcPr>
            <w:tcW w:w="1147" w:type="dxa"/>
            <w:vAlign w:val="center"/>
            <w:hideMark/>
          </w:tcPr>
          <w:p w:rsidR="00B14F35" w:rsidRPr="00B14F35" w:rsidRDefault="00B14F35" w:rsidP="00B14F35">
            <w:pPr>
              <w:jc w:val="center"/>
            </w:pPr>
            <w:r w:rsidRPr="00B14F35">
              <w:t>9:15-12:35h</w:t>
            </w:r>
          </w:p>
        </w:tc>
        <w:tc>
          <w:tcPr>
            <w:tcW w:w="920" w:type="dxa"/>
            <w:vAlign w:val="center"/>
            <w:hideMark/>
          </w:tcPr>
          <w:p w:rsidR="00B14F35" w:rsidRPr="00B14F35" w:rsidRDefault="00B14F35" w:rsidP="00B14F35">
            <w:pPr>
              <w:jc w:val="center"/>
            </w:pPr>
            <w:r w:rsidRPr="00B14F35">
              <w:t>English</w:t>
            </w:r>
          </w:p>
        </w:tc>
        <w:tc>
          <w:tcPr>
            <w:tcW w:w="3032" w:type="dxa"/>
            <w:vAlign w:val="center"/>
            <w:hideMark/>
          </w:tcPr>
          <w:p w:rsidR="00B14F35" w:rsidRPr="00B14F35" w:rsidRDefault="00B14F35" w:rsidP="00B14F35">
            <w:pPr>
              <w:jc w:val="center"/>
            </w:pPr>
            <w:r w:rsidRPr="00B14F35">
              <w:t>PHARMACOTHERAPY OF VIRAL, MYCOTIC AND PARASITIC DISEASES, DISINFICIENCE AND ANTISEPTICS</w:t>
            </w:r>
          </w:p>
        </w:tc>
        <w:tc>
          <w:tcPr>
            <w:tcW w:w="2438" w:type="dxa"/>
            <w:vAlign w:val="center"/>
            <w:hideMark/>
          </w:tcPr>
          <w:p w:rsidR="00B14F35" w:rsidRPr="00B14F35" w:rsidRDefault="00B14F35" w:rsidP="00B14F35">
            <w:pPr>
              <w:jc w:val="center"/>
            </w:pPr>
            <w:r w:rsidRPr="00B14F35">
              <w:t>MUDr. Anna Šrámková, Ph.D.</w:t>
            </w:r>
          </w:p>
        </w:tc>
      </w:tr>
    </w:tbl>
    <w:p w:rsidR="00B14F35" w:rsidRDefault="00B14F35" w:rsidP="00B15745">
      <w:pPr>
        <w:jc w:val="both"/>
      </w:pPr>
      <w:r w:rsidRPr="00B14F35">
        <w:t>Antifungal, antiviral, antiparasitic agents – mechanisms of action, characteristics, indications. Antiseptics a desinfectants.</w:t>
      </w:r>
    </w:p>
    <w:p w:rsidR="004747E4" w:rsidRDefault="004747E4" w:rsidP="004747E4"/>
    <w:tbl>
      <w:tblPr>
        <w:tblStyle w:val="Mkatabulky"/>
        <w:tblW w:w="0" w:type="auto"/>
        <w:tblLook w:val="04A0" w:firstRow="1" w:lastRow="0" w:firstColumn="1" w:lastColumn="0" w:noHBand="0" w:noVBand="1"/>
      </w:tblPr>
      <w:tblGrid>
        <w:gridCol w:w="478"/>
        <w:gridCol w:w="1030"/>
        <w:gridCol w:w="1190"/>
        <w:gridCol w:w="878"/>
        <w:gridCol w:w="2946"/>
        <w:gridCol w:w="2540"/>
      </w:tblGrid>
      <w:tr w:rsidR="00497110" w:rsidRPr="00497110" w:rsidTr="002D72A7">
        <w:trPr>
          <w:trHeight w:val="300"/>
        </w:trPr>
        <w:tc>
          <w:tcPr>
            <w:tcW w:w="478" w:type="dxa"/>
            <w:vAlign w:val="center"/>
            <w:hideMark/>
          </w:tcPr>
          <w:p w:rsidR="00497110" w:rsidRPr="00497110" w:rsidRDefault="00497110" w:rsidP="00497110">
            <w:pPr>
              <w:jc w:val="center"/>
            </w:pPr>
            <w:r w:rsidRPr="00497110">
              <w:lastRenderedPageBreak/>
              <w:t>4</w:t>
            </w:r>
          </w:p>
        </w:tc>
        <w:tc>
          <w:tcPr>
            <w:tcW w:w="1030" w:type="dxa"/>
            <w:vAlign w:val="center"/>
            <w:hideMark/>
          </w:tcPr>
          <w:p w:rsidR="00497110" w:rsidRDefault="00497110" w:rsidP="00497110">
            <w:pPr>
              <w:jc w:val="center"/>
            </w:pPr>
            <w:r w:rsidRPr="00497110">
              <w:t>29.10.</w:t>
            </w:r>
          </w:p>
          <w:p w:rsidR="00497110" w:rsidRPr="00497110" w:rsidRDefault="00497110" w:rsidP="00497110">
            <w:pPr>
              <w:jc w:val="center"/>
            </w:pPr>
            <w:r w:rsidRPr="00497110">
              <w:t>2020</w:t>
            </w:r>
          </w:p>
        </w:tc>
        <w:tc>
          <w:tcPr>
            <w:tcW w:w="1190" w:type="dxa"/>
            <w:vAlign w:val="center"/>
            <w:hideMark/>
          </w:tcPr>
          <w:p w:rsidR="00497110" w:rsidRPr="00497110" w:rsidRDefault="00497110" w:rsidP="00497110">
            <w:pPr>
              <w:jc w:val="center"/>
            </w:pPr>
            <w:r w:rsidRPr="00497110">
              <w:t>10:10-12:40h</w:t>
            </w:r>
          </w:p>
        </w:tc>
        <w:tc>
          <w:tcPr>
            <w:tcW w:w="878" w:type="dxa"/>
            <w:vAlign w:val="center"/>
            <w:hideMark/>
          </w:tcPr>
          <w:p w:rsidR="00497110" w:rsidRPr="00497110" w:rsidRDefault="00497110" w:rsidP="00497110">
            <w:pPr>
              <w:jc w:val="center"/>
            </w:pPr>
            <w:r w:rsidRPr="00497110">
              <w:t>Česky</w:t>
            </w:r>
          </w:p>
        </w:tc>
        <w:tc>
          <w:tcPr>
            <w:tcW w:w="2946" w:type="dxa"/>
            <w:vAlign w:val="center"/>
            <w:hideMark/>
          </w:tcPr>
          <w:p w:rsidR="00497110" w:rsidRPr="00497110" w:rsidRDefault="00497110" w:rsidP="00497110">
            <w:pPr>
              <w:jc w:val="center"/>
            </w:pPr>
            <w:r w:rsidRPr="00497110">
              <w:t>LÉČIVA UŽÍVANÁ V DERMATOLOGII</w:t>
            </w:r>
          </w:p>
        </w:tc>
        <w:tc>
          <w:tcPr>
            <w:tcW w:w="2540" w:type="dxa"/>
            <w:vAlign w:val="center"/>
            <w:hideMark/>
          </w:tcPr>
          <w:p w:rsidR="00497110" w:rsidRPr="00497110" w:rsidRDefault="00497110" w:rsidP="00497110">
            <w:pPr>
              <w:jc w:val="center"/>
            </w:pPr>
            <w:r w:rsidRPr="00497110">
              <w:t>prof. MUDr. Karel Pizinger, CSc.</w:t>
            </w:r>
          </w:p>
        </w:tc>
      </w:tr>
    </w:tbl>
    <w:p w:rsidR="002D72A7" w:rsidRDefault="002D72A7" w:rsidP="002D72A7">
      <w:pPr>
        <w:jc w:val="both"/>
      </w:pPr>
      <w:r>
        <w:t>Farmakoterapie představuje základ léčby kožních a pohlavních nemocí. Rozděluje se na léčbu zevní (lokální), při které se léčivo dostává přímo  do postižené kůže, a na léčbu systémovou. Student bude seznámen se základními principy terapie s ohledem na její používání v denní, lékařské praxi.</w:t>
      </w:r>
    </w:p>
    <w:p w:rsidR="00497110" w:rsidRDefault="00497110" w:rsidP="004747E4"/>
    <w:tbl>
      <w:tblPr>
        <w:tblStyle w:val="Mkatabulky"/>
        <w:tblW w:w="0" w:type="auto"/>
        <w:tblLook w:val="04A0" w:firstRow="1" w:lastRow="0" w:firstColumn="1" w:lastColumn="0" w:noHBand="0" w:noVBand="1"/>
      </w:tblPr>
      <w:tblGrid>
        <w:gridCol w:w="526"/>
        <w:gridCol w:w="1006"/>
        <w:gridCol w:w="1157"/>
        <w:gridCol w:w="923"/>
        <w:gridCol w:w="3060"/>
        <w:gridCol w:w="2390"/>
      </w:tblGrid>
      <w:tr w:rsidR="00497110" w:rsidRPr="00497110" w:rsidTr="002D72A7">
        <w:trPr>
          <w:trHeight w:val="600"/>
        </w:trPr>
        <w:tc>
          <w:tcPr>
            <w:tcW w:w="526" w:type="dxa"/>
            <w:vAlign w:val="center"/>
            <w:hideMark/>
          </w:tcPr>
          <w:p w:rsidR="00497110" w:rsidRPr="00497110" w:rsidRDefault="00497110" w:rsidP="00497110">
            <w:pPr>
              <w:jc w:val="center"/>
            </w:pPr>
            <w:r w:rsidRPr="00497110">
              <w:t>4A</w:t>
            </w:r>
          </w:p>
        </w:tc>
        <w:tc>
          <w:tcPr>
            <w:tcW w:w="1006" w:type="dxa"/>
            <w:vAlign w:val="center"/>
            <w:hideMark/>
          </w:tcPr>
          <w:p w:rsidR="00497110" w:rsidRDefault="00497110" w:rsidP="00497110">
            <w:pPr>
              <w:jc w:val="center"/>
            </w:pPr>
            <w:r w:rsidRPr="00497110">
              <w:t>03.11.</w:t>
            </w:r>
          </w:p>
          <w:p w:rsidR="00497110" w:rsidRPr="00497110" w:rsidRDefault="00497110" w:rsidP="00497110">
            <w:pPr>
              <w:jc w:val="center"/>
            </w:pPr>
            <w:r w:rsidRPr="00497110">
              <w:t>2020</w:t>
            </w:r>
          </w:p>
        </w:tc>
        <w:tc>
          <w:tcPr>
            <w:tcW w:w="1157" w:type="dxa"/>
            <w:vAlign w:val="center"/>
            <w:hideMark/>
          </w:tcPr>
          <w:p w:rsidR="00497110" w:rsidRPr="00497110" w:rsidRDefault="00497110" w:rsidP="00497110">
            <w:pPr>
              <w:jc w:val="center"/>
            </w:pPr>
            <w:r w:rsidRPr="00497110">
              <w:t>9:15-12:35h</w:t>
            </w:r>
          </w:p>
        </w:tc>
        <w:tc>
          <w:tcPr>
            <w:tcW w:w="923" w:type="dxa"/>
            <w:vAlign w:val="center"/>
            <w:hideMark/>
          </w:tcPr>
          <w:p w:rsidR="00497110" w:rsidRPr="00497110" w:rsidRDefault="00497110" w:rsidP="00497110">
            <w:pPr>
              <w:jc w:val="center"/>
            </w:pPr>
            <w:r w:rsidRPr="00497110">
              <w:t>English</w:t>
            </w:r>
          </w:p>
        </w:tc>
        <w:tc>
          <w:tcPr>
            <w:tcW w:w="3060" w:type="dxa"/>
            <w:vAlign w:val="center"/>
            <w:hideMark/>
          </w:tcPr>
          <w:p w:rsidR="00497110" w:rsidRPr="00497110" w:rsidRDefault="00497110" w:rsidP="00497110">
            <w:pPr>
              <w:jc w:val="center"/>
            </w:pPr>
            <w:r w:rsidRPr="00497110">
              <w:t>PHARMACOTHERAPY USED IN DERMATOLOGY</w:t>
            </w:r>
          </w:p>
        </w:tc>
        <w:tc>
          <w:tcPr>
            <w:tcW w:w="2390" w:type="dxa"/>
            <w:vAlign w:val="center"/>
            <w:hideMark/>
          </w:tcPr>
          <w:p w:rsidR="00497110" w:rsidRPr="00497110" w:rsidRDefault="00497110" w:rsidP="00497110">
            <w:pPr>
              <w:jc w:val="center"/>
            </w:pPr>
            <w:r w:rsidRPr="00497110">
              <w:t>prof. MUDr. Karel Pizinger, CSc.</w:t>
            </w:r>
          </w:p>
        </w:tc>
      </w:tr>
    </w:tbl>
    <w:p w:rsidR="002D72A7" w:rsidRDefault="002D72A7" w:rsidP="002D72A7">
      <w:r w:rsidRPr="00E007C5">
        <w:t>Medical therapy in dermatovenereology consists of topical and systemic options. In many instances, topical and systemic therapies complement each other. The students will be informed about the principles of dermatological therapy with regard to daily medical practice.</w:t>
      </w:r>
    </w:p>
    <w:p w:rsidR="00497110" w:rsidRDefault="00497110" w:rsidP="004747E4"/>
    <w:tbl>
      <w:tblPr>
        <w:tblStyle w:val="Mkatabulky"/>
        <w:tblW w:w="0" w:type="auto"/>
        <w:jc w:val="center"/>
        <w:tblLook w:val="04A0" w:firstRow="1" w:lastRow="0" w:firstColumn="1" w:lastColumn="0" w:noHBand="0" w:noVBand="1"/>
      </w:tblPr>
      <w:tblGrid>
        <w:gridCol w:w="459"/>
        <w:gridCol w:w="1230"/>
        <w:gridCol w:w="1146"/>
        <w:gridCol w:w="859"/>
        <w:gridCol w:w="2971"/>
        <w:gridCol w:w="2397"/>
      </w:tblGrid>
      <w:tr w:rsidR="004747E4" w:rsidRPr="004747E4" w:rsidTr="00D846C3">
        <w:trPr>
          <w:trHeight w:val="300"/>
          <w:jc w:val="center"/>
        </w:trPr>
        <w:tc>
          <w:tcPr>
            <w:tcW w:w="459" w:type="dxa"/>
            <w:vAlign w:val="center"/>
            <w:hideMark/>
          </w:tcPr>
          <w:p w:rsidR="004747E4" w:rsidRPr="004747E4" w:rsidRDefault="004747E4" w:rsidP="00A57ECF">
            <w:pPr>
              <w:jc w:val="center"/>
            </w:pPr>
            <w:r w:rsidRPr="004747E4">
              <w:t>5</w:t>
            </w:r>
          </w:p>
        </w:tc>
        <w:tc>
          <w:tcPr>
            <w:tcW w:w="1230" w:type="dxa"/>
            <w:vAlign w:val="center"/>
            <w:hideMark/>
          </w:tcPr>
          <w:p w:rsidR="004747E4" w:rsidRPr="004747E4" w:rsidRDefault="004747E4" w:rsidP="00A57ECF">
            <w:pPr>
              <w:jc w:val="center"/>
            </w:pPr>
            <w:r w:rsidRPr="004747E4">
              <w:t>05.11.</w:t>
            </w:r>
            <w:r w:rsidR="00F870FA">
              <w:t xml:space="preserve"> </w:t>
            </w:r>
            <w:r w:rsidRPr="004747E4">
              <w:t>2020</w:t>
            </w:r>
          </w:p>
        </w:tc>
        <w:tc>
          <w:tcPr>
            <w:tcW w:w="1146" w:type="dxa"/>
            <w:vAlign w:val="center"/>
            <w:hideMark/>
          </w:tcPr>
          <w:p w:rsidR="004747E4" w:rsidRPr="004747E4" w:rsidRDefault="004747E4" w:rsidP="00A57ECF">
            <w:pPr>
              <w:jc w:val="center"/>
            </w:pPr>
            <w:r w:rsidRPr="004747E4">
              <w:t>10:10-12:40h</w:t>
            </w:r>
          </w:p>
        </w:tc>
        <w:tc>
          <w:tcPr>
            <w:tcW w:w="859" w:type="dxa"/>
            <w:vAlign w:val="center"/>
            <w:hideMark/>
          </w:tcPr>
          <w:p w:rsidR="004747E4" w:rsidRPr="004747E4" w:rsidRDefault="004747E4" w:rsidP="00A57ECF">
            <w:pPr>
              <w:jc w:val="center"/>
            </w:pPr>
            <w:r w:rsidRPr="004747E4">
              <w:t>Česky</w:t>
            </w:r>
          </w:p>
        </w:tc>
        <w:tc>
          <w:tcPr>
            <w:tcW w:w="2971" w:type="dxa"/>
            <w:vAlign w:val="center"/>
            <w:hideMark/>
          </w:tcPr>
          <w:p w:rsidR="004747E4" w:rsidRPr="004747E4" w:rsidRDefault="004747E4" w:rsidP="00A57ECF">
            <w:pPr>
              <w:jc w:val="center"/>
            </w:pPr>
            <w:r w:rsidRPr="004747E4">
              <w:t>ANTIHYPERTENZIVA A HYPOLIPIDEMIKA</w:t>
            </w:r>
          </w:p>
        </w:tc>
        <w:tc>
          <w:tcPr>
            <w:tcW w:w="2397" w:type="dxa"/>
            <w:vAlign w:val="center"/>
            <w:hideMark/>
          </w:tcPr>
          <w:p w:rsidR="004747E4" w:rsidRPr="004747E4" w:rsidRDefault="004747E4" w:rsidP="00A57ECF">
            <w:pPr>
              <w:jc w:val="center"/>
            </w:pPr>
            <w:r w:rsidRPr="004747E4">
              <w:t>prof. MUDr. Hana Rosolová, DrSc.</w:t>
            </w:r>
          </w:p>
        </w:tc>
      </w:tr>
    </w:tbl>
    <w:p w:rsidR="004747E4" w:rsidRDefault="004747E4" w:rsidP="004747E4">
      <w:pPr>
        <w:jc w:val="both"/>
      </w:pPr>
      <w:r>
        <w:tab/>
      </w:r>
      <w:r w:rsidRPr="004747E4">
        <w:t>Jsou uvedeny základní skupiny antihypertenzív (diuretika, betablokátory, blokátory kalciových kanálů, inhibitory ACE a blokátory receptorů pro angiotenzin II /sartany/), jejich mechanismy účinků, vedlejší účinky, dávkování a kontraindikace. Jsou zmíněny principy kombinační léčby hypertenze podle posledních evropských doporučených postupů o léčbě hypertenze z r. 2018.</w:t>
      </w:r>
    </w:p>
    <w:p w:rsidR="004747E4" w:rsidRDefault="004747E4" w:rsidP="004747E4">
      <w:pPr>
        <w:jc w:val="both"/>
      </w:pPr>
      <w:r>
        <w:tab/>
      </w:r>
      <w:r w:rsidRPr="004747E4">
        <w:t>Hypolipidemická léčba je založena na léčbě statiny, případně na kombinaci statinu a ezetimibu, a na dosažení cílových hodnot LDL-cholesterolu podle celkového kardiovaskulárního rizika. Je uveden současný pohled na léčbu kombinované a aterogenní dyslipidemie. Je vysvětlena biologická léčba hypercholesterolomie pomocí inhibitorů PCSK9.  U všech hypolipidemik je uveden mechanismus působení, jeho účinky na lipidový metabolismus, nežádoucí účinky, indikace, dávkování i kontraindikace. Zdrojem jsou opět evropské doporučené postupy pro léčbu dyslipidemií z r. 2019.</w:t>
      </w:r>
    </w:p>
    <w:p w:rsidR="004747E4" w:rsidRDefault="004747E4" w:rsidP="004747E4"/>
    <w:tbl>
      <w:tblPr>
        <w:tblStyle w:val="Mkatabulky"/>
        <w:tblW w:w="0" w:type="auto"/>
        <w:tblLook w:val="04A0" w:firstRow="1" w:lastRow="0" w:firstColumn="1" w:lastColumn="0" w:noHBand="0" w:noVBand="1"/>
      </w:tblPr>
      <w:tblGrid>
        <w:gridCol w:w="522"/>
        <w:gridCol w:w="1229"/>
        <w:gridCol w:w="1133"/>
        <w:gridCol w:w="917"/>
        <w:gridCol w:w="2919"/>
        <w:gridCol w:w="2342"/>
      </w:tblGrid>
      <w:tr w:rsidR="004747E4" w:rsidRPr="004747E4" w:rsidTr="00D846C3">
        <w:trPr>
          <w:trHeight w:val="600"/>
        </w:trPr>
        <w:tc>
          <w:tcPr>
            <w:tcW w:w="522" w:type="dxa"/>
            <w:vAlign w:val="center"/>
            <w:hideMark/>
          </w:tcPr>
          <w:p w:rsidR="004747E4" w:rsidRPr="004747E4" w:rsidRDefault="004747E4" w:rsidP="00A57ECF">
            <w:pPr>
              <w:jc w:val="center"/>
            </w:pPr>
            <w:r w:rsidRPr="004747E4">
              <w:t>5A</w:t>
            </w:r>
          </w:p>
        </w:tc>
        <w:tc>
          <w:tcPr>
            <w:tcW w:w="1229" w:type="dxa"/>
            <w:vAlign w:val="center"/>
            <w:hideMark/>
          </w:tcPr>
          <w:p w:rsidR="004747E4" w:rsidRPr="004747E4" w:rsidRDefault="004747E4" w:rsidP="00A57ECF">
            <w:pPr>
              <w:jc w:val="center"/>
            </w:pPr>
            <w:r w:rsidRPr="004747E4">
              <w:t>10.11.</w:t>
            </w:r>
            <w:r w:rsidR="00F870FA">
              <w:t xml:space="preserve"> </w:t>
            </w:r>
            <w:r w:rsidRPr="004747E4">
              <w:t>2020</w:t>
            </w:r>
          </w:p>
        </w:tc>
        <w:tc>
          <w:tcPr>
            <w:tcW w:w="1133" w:type="dxa"/>
            <w:vAlign w:val="center"/>
            <w:hideMark/>
          </w:tcPr>
          <w:p w:rsidR="004747E4" w:rsidRPr="004747E4" w:rsidRDefault="004747E4" w:rsidP="00A57ECF">
            <w:pPr>
              <w:jc w:val="center"/>
            </w:pPr>
            <w:r w:rsidRPr="004747E4">
              <w:t>9:15-12:35h</w:t>
            </w:r>
          </w:p>
        </w:tc>
        <w:tc>
          <w:tcPr>
            <w:tcW w:w="917" w:type="dxa"/>
            <w:vAlign w:val="center"/>
            <w:hideMark/>
          </w:tcPr>
          <w:p w:rsidR="004747E4" w:rsidRPr="004747E4" w:rsidRDefault="004747E4" w:rsidP="00A57ECF">
            <w:pPr>
              <w:jc w:val="center"/>
            </w:pPr>
            <w:r w:rsidRPr="004747E4">
              <w:t>English</w:t>
            </w:r>
          </w:p>
        </w:tc>
        <w:tc>
          <w:tcPr>
            <w:tcW w:w="2919" w:type="dxa"/>
            <w:vAlign w:val="center"/>
            <w:hideMark/>
          </w:tcPr>
          <w:p w:rsidR="004747E4" w:rsidRPr="004747E4" w:rsidRDefault="004747E4" w:rsidP="00A57ECF">
            <w:pPr>
              <w:jc w:val="center"/>
            </w:pPr>
            <w:r w:rsidRPr="004747E4">
              <w:t>ANTIHYPERTENSIVE AND LIPID LOWERING DRUGS</w:t>
            </w:r>
          </w:p>
        </w:tc>
        <w:tc>
          <w:tcPr>
            <w:tcW w:w="2342" w:type="dxa"/>
            <w:vAlign w:val="center"/>
            <w:hideMark/>
          </w:tcPr>
          <w:p w:rsidR="004747E4" w:rsidRPr="004747E4" w:rsidRDefault="004747E4" w:rsidP="00A57ECF">
            <w:pPr>
              <w:jc w:val="center"/>
            </w:pPr>
            <w:r w:rsidRPr="004747E4">
              <w:t>prof. MUDr. Hana Rosolová, DrSc.</w:t>
            </w:r>
          </w:p>
        </w:tc>
      </w:tr>
    </w:tbl>
    <w:p w:rsidR="004747E4" w:rsidRDefault="004747E4" w:rsidP="004747E4">
      <w:pPr>
        <w:jc w:val="both"/>
      </w:pPr>
      <w:r>
        <w:tab/>
        <w:t xml:space="preserve">The basic groups of antihypertensives (diuretics, betablockers, calcium channel blockers, ACE inhibitors and blockers of angiotesin II receptors /sartans/), their effect mechanisms, side effects,  dosage and contraindications are presented. The principles of combined treatment is mentioned according to the last European Guidelines of hypertension management from the year 2018. </w:t>
      </w:r>
    </w:p>
    <w:p w:rsidR="004747E4" w:rsidRDefault="004747E4" w:rsidP="004747E4">
      <w:pPr>
        <w:jc w:val="both"/>
      </w:pPr>
      <w:r>
        <w:tab/>
        <w:t xml:space="preserve">Lipid-lowering therapy is based on statin treatment, event. statin plus ezetimibe combination, and on the achievment of LDL-cholesterol aims according to the global cardiovascular risk. The management of combined and atherogenic dyslipidemia is presented. The biological treatment with PCSK9 inhibitors is explained. Effect mechanims in lipid metabolism, side effects, indication, dosage and </w:t>
      </w:r>
      <w:r w:rsidRPr="0002569D">
        <w:t>contraindications are presented in all lipid-lowering drugs. The European Guidelines for dyslipidemia management from 2019 are used.</w:t>
      </w:r>
    </w:p>
    <w:p w:rsidR="00A3485F" w:rsidRDefault="00A3485F" w:rsidP="004747E4">
      <w:pPr>
        <w:jc w:val="both"/>
      </w:pPr>
    </w:p>
    <w:p w:rsidR="00A3485F" w:rsidRPr="0002569D" w:rsidRDefault="00A3485F" w:rsidP="004747E4">
      <w:pPr>
        <w:jc w:val="both"/>
      </w:pPr>
    </w:p>
    <w:tbl>
      <w:tblPr>
        <w:tblStyle w:val="Mkatabulky"/>
        <w:tblW w:w="0" w:type="auto"/>
        <w:tblLook w:val="04A0" w:firstRow="1" w:lastRow="0" w:firstColumn="1" w:lastColumn="0" w:noHBand="0" w:noVBand="1"/>
      </w:tblPr>
      <w:tblGrid>
        <w:gridCol w:w="470"/>
        <w:gridCol w:w="801"/>
        <w:gridCol w:w="992"/>
        <w:gridCol w:w="851"/>
        <w:gridCol w:w="3118"/>
        <w:gridCol w:w="2830"/>
      </w:tblGrid>
      <w:tr w:rsidR="005E6F03" w:rsidRPr="005E6F03" w:rsidTr="00A650EF">
        <w:trPr>
          <w:trHeight w:val="930"/>
        </w:trPr>
        <w:tc>
          <w:tcPr>
            <w:tcW w:w="470" w:type="dxa"/>
            <w:vAlign w:val="center"/>
            <w:hideMark/>
          </w:tcPr>
          <w:p w:rsidR="005E6F03" w:rsidRPr="005E6F03" w:rsidRDefault="005E6F03" w:rsidP="00A650EF">
            <w:pPr>
              <w:jc w:val="center"/>
            </w:pPr>
            <w:r w:rsidRPr="005E6F03">
              <w:lastRenderedPageBreak/>
              <w:t>6</w:t>
            </w:r>
          </w:p>
        </w:tc>
        <w:tc>
          <w:tcPr>
            <w:tcW w:w="801" w:type="dxa"/>
            <w:vAlign w:val="center"/>
            <w:hideMark/>
          </w:tcPr>
          <w:p w:rsidR="005E6F03" w:rsidRPr="005E6F03" w:rsidRDefault="005E6F03" w:rsidP="00A650EF">
            <w:pPr>
              <w:jc w:val="center"/>
            </w:pPr>
            <w:r w:rsidRPr="005E6F03">
              <w:t>12.11.</w:t>
            </w:r>
          </w:p>
          <w:p w:rsidR="005E6F03" w:rsidRPr="005E6F03" w:rsidRDefault="005E6F03" w:rsidP="00A650EF">
            <w:pPr>
              <w:jc w:val="center"/>
            </w:pPr>
            <w:r w:rsidRPr="005E6F03">
              <w:t>2020</w:t>
            </w:r>
          </w:p>
        </w:tc>
        <w:tc>
          <w:tcPr>
            <w:tcW w:w="992" w:type="dxa"/>
            <w:vAlign w:val="center"/>
            <w:hideMark/>
          </w:tcPr>
          <w:p w:rsidR="005E6F03" w:rsidRPr="005E6F03" w:rsidRDefault="005E6F03" w:rsidP="00A650EF">
            <w:pPr>
              <w:jc w:val="center"/>
            </w:pPr>
            <w:r w:rsidRPr="005E6F03">
              <w:t>10:10-12:40h</w:t>
            </w:r>
          </w:p>
        </w:tc>
        <w:tc>
          <w:tcPr>
            <w:tcW w:w="851" w:type="dxa"/>
            <w:vAlign w:val="center"/>
            <w:hideMark/>
          </w:tcPr>
          <w:p w:rsidR="005E6F03" w:rsidRPr="005E6F03" w:rsidRDefault="005E6F03" w:rsidP="00A650EF">
            <w:pPr>
              <w:jc w:val="center"/>
            </w:pPr>
            <w:r w:rsidRPr="005E6F03">
              <w:t>Česky</w:t>
            </w:r>
          </w:p>
        </w:tc>
        <w:tc>
          <w:tcPr>
            <w:tcW w:w="3118" w:type="dxa"/>
            <w:vAlign w:val="center"/>
            <w:hideMark/>
          </w:tcPr>
          <w:p w:rsidR="005E6F03" w:rsidRPr="005E6F03" w:rsidRDefault="005E6F03" w:rsidP="00A650EF">
            <w:pPr>
              <w:jc w:val="center"/>
            </w:pPr>
            <w:r w:rsidRPr="005E6F03">
              <w:t>ANTITROMBOTICKÁ LÉČBA (ANTIKOAGULANCIA, PROTIDESTIČKOVÉ LÉKY, FIBRINOLYTIKA)</w:t>
            </w:r>
          </w:p>
        </w:tc>
        <w:tc>
          <w:tcPr>
            <w:tcW w:w="2830" w:type="dxa"/>
            <w:vAlign w:val="center"/>
            <w:hideMark/>
          </w:tcPr>
          <w:p w:rsidR="005E6F03" w:rsidRPr="005E6F03" w:rsidRDefault="005E6F03" w:rsidP="00A650EF">
            <w:pPr>
              <w:jc w:val="center"/>
            </w:pPr>
            <w:r w:rsidRPr="005E6F03">
              <w:t xml:space="preserve">prof. MUDr. Richard Rokyta, Ph.D.,     </w:t>
            </w:r>
          </w:p>
          <w:p w:rsidR="005E6F03" w:rsidRPr="005E6F03" w:rsidRDefault="005E6F03" w:rsidP="00A650EF">
            <w:pPr>
              <w:jc w:val="center"/>
            </w:pPr>
            <w:r w:rsidRPr="005E6F03">
              <w:t xml:space="preserve">  doc. MUDr. Ivo Bernat, Ph.D.</w:t>
            </w:r>
          </w:p>
        </w:tc>
      </w:tr>
    </w:tbl>
    <w:p w:rsidR="005E6F03" w:rsidRPr="005E6F03" w:rsidRDefault="005E6F03" w:rsidP="005E6F03">
      <w:pPr>
        <w:jc w:val="both"/>
      </w:pPr>
      <w:r w:rsidRPr="005E6F03">
        <w:t xml:space="preserve">Antikoagulancia, protidestičkové léky, fibrinolytika – základní charakteristika, mechanismus účinku, rozdělení léků v jednotlivých skupinách, hlavní klinické indikace.  </w:t>
      </w:r>
    </w:p>
    <w:p w:rsidR="005E6F03" w:rsidRPr="005E6F03" w:rsidRDefault="005E6F03" w:rsidP="005E6F03">
      <w:pPr>
        <w:jc w:val="both"/>
      </w:pPr>
    </w:p>
    <w:tbl>
      <w:tblPr>
        <w:tblStyle w:val="Mkatabulky"/>
        <w:tblW w:w="0" w:type="auto"/>
        <w:tblLook w:val="04A0" w:firstRow="1" w:lastRow="0" w:firstColumn="1" w:lastColumn="0" w:noHBand="0" w:noVBand="1"/>
      </w:tblPr>
      <w:tblGrid>
        <w:gridCol w:w="526"/>
        <w:gridCol w:w="912"/>
        <w:gridCol w:w="952"/>
        <w:gridCol w:w="851"/>
        <w:gridCol w:w="3208"/>
        <w:gridCol w:w="2613"/>
      </w:tblGrid>
      <w:tr w:rsidR="005E6F03" w:rsidRPr="005E6F03" w:rsidTr="00A650EF">
        <w:trPr>
          <w:trHeight w:val="870"/>
        </w:trPr>
        <w:tc>
          <w:tcPr>
            <w:tcW w:w="529" w:type="dxa"/>
            <w:vAlign w:val="center"/>
            <w:hideMark/>
          </w:tcPr>
          <w:p w:rsidR="005E6F03" w:rsidRPr="005E6F03" w:rsidRDefault="005E6F03" w:rsidP="00A650EF">
            <w:pPr>
              <w:jc w:val="center"/>
            </w:pPr>
            <w:r w:rsidRPr="005E6F03">
              <w:t>6A</w:t>
            </w:r>
          </w:p>
        </w:tc>
        <w:tc>
          <w:tcPr>
            <w:tcW w:w="774" w:type="dxa"/>
            <w:vAlign w:val="center"/>
            <w:hideMark/>
          </w:tcPr>
          <w:p w:rsidR="005E6F03" w:rsidRPr="005E6F03" w:rsidRDefault="00A3485F" w:rsidP="00A650EF">
            <w:pPr>
              <w:jc w:val="center"/>
            </w:pPr>
            <w:r w:rsidRPr="006206F3">
              <w:t>Moodle</w:t>
            </w:r>
          </w:p>
        </w:tc>
        <w:tc>
          <w:tcPr>
            <w:tcW w:w="960" w:type="dxa"/>
            <w:vAlign w:val="center"/>
            <w:hideMark/>
          </w:tcPr>
          <w:p w:rsidR="005E6F03" w:rsidRPr="005E6F03" w:rsidRDefault="00D9002D" w:rsidP="00A650EF">
            <w:pPr>
              <w:jc w:val="center"/>
            </w:pPr>
            <w:r>
              <w:t>18.11.</w:t>
            </w:r>
          </w:p>
        </w:tc>
        <w:tc>
          <w:tcPr>
            <w:tcW w:w="851" w:type="dxa"/>
            <w:vAlign w:val="center"/>
            <w:hideMark/>
          </w:tcPr>
          <w:p w:rsidR="005E6F03" w:rsidRPr="005E6F03" w:rsidRDefault="005E6F03" w:rsidP="00A650EF">
            <w:pPr>
              <w:jc w:val="center"/>
            </w:pPr>
            <w:r w:rsidRPr="005E6F03">
              <w:t>English</w:t>
            </w:r>
          </w:p>
        </w:tc>
        <w:tc>
          <w:tcPr>
            <w:tcW w:w="3260" w:type="dxa"/>
            <w:vAlign w:val="center"/>
            <w:hideMark/>
          </w:tcPr>
          <w:p w:rsidR="005E6F03" w:rsidRPr="005E6F03" w:rsidRDefault="005E6F03" w:rsidP="00A650EF">
            <w:pPr>
              <w:jc w:val="center"/>
            </w:pPr>
            <w:r w:rsidRPr="005E6F03">
              <w:t>ANTITHROMBOTIC TREATMENT (ANTICOAGULANTS, ANTI-PLATELET DRUGS, FIBRINOLYTICS)</w:t>
            </w:r>
          </w:p>
        </w:tc>
        <w:tc>
          <w:tcPr>
            <w:tcW w:w="2688" w:type="dxa"/>
            <w:vAlign w:val="center"/>
            <w:hideMark/>
          </w:tcPr>
          <w:p w:rsidR="005E6F03" w:rsidRPr="005E6F03" w:rsidRDefault="005E6F03" w:rsidP="00A650EF">
            <w:pPr>
              <w:jc w:val="center"/>
            </w:pPr>
            <w:r w:rsidRPr="005E6F03">
              <w:t>prof. MUDr. Richard Rokyta, Ph.D.,</w:t>
            </w:r>
          </w:p>
          <w:p w:rsidR="005E6F03" w:rsidRPr="005E6F03" w:rsidRDefault="005E6F03" w:rsidP="00A650EF">
            <w:pPr>
              <w:jc w:val="center"/>
            </w:pPr>
            <w:r w:rsidRPr="005E6F03">
              <w:t>doc. MUDr. Ivo Bernat, Ph.D.</w:t>
            </w:r>
          </w:p>
        </w:tc>
      </w:tr>
    </w:tbl>
    <w:p w:rsidR="005E6F03" w:rsidRPr="005E6F03" w:rsidRDefault="005E6F03" w:rsidP="005E6F03">
      <w:pPr>
        <w:jc w:val="both"/>
      </w:pPr>
      <w:r w:rsidRPr="005E6F03">
        <w:t xml:space="preserve">Anticoagulants, antiplatelet drugs, fibrinolytics – basic characteristics, mechanism of action, groups of drugs, main clinical indications. </w:t>
      </w:r>
    </w:p>
    <w:p w:rsidR="005E6F03" w:rsidRPr="005E6F03" w:rsidRDefault="005E6F03" w:rsidP="005E6F03">
      <w:pPr>
        <w:jc w:val="both"/>
      </w:pPr>
    </w:p>
    <w:tbl>
      <w:tblPr>
        <w:tblStyle w:val="Mkatabulky"/>
        <w:tblpPr w:leftFromText="141" w:rightFromText="141" w:vertAnchor="text" w:horzAnchor="margin" w:tblpXSpec="center" w:tblpY="36"/>
        <w:tblW w:w="0" w:type="auto"/>
        <w:tblLook w:val="04A0" w:firstRow="1" w:lastRow="0" w:firstColumn="1" w:lastColumn="0" w:noHBand="0" w:noVBand="1"/>
      </w:tblPr>
      <w:tblGrid>
        <w:gridCol w:w="471"/>
        <w:gridCol w:w="800"/>
        <w:gridCol w:w="992"/>
        <w:gridCol w:w="851"/>
        <w:gridCol w:w="2977"/>
        <w:gridCol w:w="2971"/>
      </w:tblGrid>
      <w:tr w:rsidR="005E6F03" w:rsidRPr="005E6F03" w:rsidTr="00A650EF">
        <w:trPr>
          <w:trHeight w:val="600"/>
        </w:trPr>
        <w:tc>
          <w:tcPr>
            <w:tcW w:w="471" w:type="dxa"/>
            <w:vAlign w:val="center"/>
            <w:hideMark/>
          </w:tcPr>
          <w:p w:rsidR="005E6F03" w:rsidRPr="005E6F03" w:rsidRDefault="005E6F03" w:rsidP="00A650EF">
            <w:pPr>
              <w:jc w:val="center"/>
            </w:pPr>
            <w:r w:rsidRPr="005E6F03">
              <w:t>7</w:t>
            </w:r>
          </w:p>
        </w:tc>
        <w:tc>
          <w:tcPr>
            <w:tcW w:w="800" w:type="dxa"/>
            <w:vAlign w:val="center"/>
            <w:hideMark/>
          </w:tcPr>
          <w:p w:rsidR="005E6F03" w:rsidRPr="005E6F03" w:rsidRDefault="005E6F03" w:rsidP="00A650EF">
            <w:pPr>
              <w:jc w:val="center"/>
            </w:pPr>
            <w:r w:rsidRPr="005E6F03">
              <w:t>19.11.</w:t>
            </w:r>
          </w:p>
          <w:p w:rsidR="005E6F03" w:rsidRPr="005E6F03" w:rsidRDefault="005E6F03" w:rsidP="00A650EF">
            <w:pPr>
              <w:jc w:val="center"/>
            </w:pPr>
            <w:r w:rsidRPr="005E6F03">
              <w:t>2020</w:t>
            </w:r>
          </w:p>
        </w:tc>
        <w:tc>
          <w:tcPr>
            <w:tcW w:w="992" w:type="dxa"/>
            <w:vAlign w:val="center"/>
            <w:hideMark/>
          </w:tcPr>
          <w:p w:rsidR="005E6F03" w:rsidRPr="005E6F03" w:rsidRDefault="005E6F03" w:rsidP="00A650EF">
            <w:pPr>
              <w:jc w:val="center"/>
            </w:pPr>
            <w:r w:rsidRPr="005E6F03">
              <w:t>10:10-12:40h</w:t>
            </w:r>
          </w:p>
        </w:tc>
        <w:tc>
          <w:tcPr>
            <w:tcW w:w="851" w:type="dxa"/>
            <w:vAlign w:val="center"/>
            <w:hideMark/>
          </w:tcPr>
          <w:p w:rsidR="005E6F03" w:rsidRPr="005E6F03" w:rsidRDefault="005E6F03" w:rsidP="00A650EF">
            <w:pPr>
              <w:jc w:val="center"/>
            </w:pPr>
            <w:r w:rsidRPr="005E6F03">
              <w:t>Česky</w:t>
            </w:r>
          </w:p>
        </w:tc>
        <w:tc>
          <w:tcPr>
            <w:tcW w:w="2977" w:type="dxa"/>
            <w:vAlign w:val="center"/>
            <w:hideMark/>
          </w:tcPr>
          <w:p w:rsidR="005E6F03" w:rsidRPr="005E6F03" w:rsidRDefault="005E6F03" w:rsidP="00A650EF">
            <w:pPr>
              <w:jc w:val="center"/>
            </w:pPr>
            <w:r w:rsidRPr="005E6F03">
              <w:t>LÉČBA SRDEČNÍHO SELHÁNÍ A ARYTMIÍ</w:t>
            </w:r>
          </w:p>
        </w:tc>
        <w:tc>
          <w:tcPr>
            <w:tcW w:w="2971" w:type="dxa"/>
            <w:vAlign w:val="center"/>
            <w:hideMark/>
          </w:tcPr>
          <w:p w:rsidR="005E6F03" w:rsidRPr="005E6F03" w:rsidRDefault="005E6F03" w:rsidP="00A650EF">
            <w:pPr>
              <w:jc w:val="center"/>
            </w:pPr>
            <w:r w:rsidRPr="005E6F03">
              <w:t>doc. MUDr. Milan Hromádka, Ph.D.,</w:t>
            </w:r>
          </w:p>
          <w:p w:rsidR="005E6F03" w:rsidRPr="005E6F03" w:rsidRDefault="005E6F03" w:rsidP="00A650EF">
            <w:pPr>
              <w:jc w:val="center"/>
            </w:pPr>
            <w:r w:rsidRPr="005E6F03">
              <w:t>doc. MUDr. Vlastimil Vančura, Ph.D.</w:t>
            </w:r>
          </w:p>
        </w:tc>
      </w:tr>
    </w:tbl>
    <w:p w:rsidR="005E6F03" w:rsidRPr="005E6F03" w:rsidRDefault="005E6F03" w:rsidP="005E6F03">
      <w:pPr>
        <w:jc w:val="both"/>
      </w:pPr>
      <w:r w:rsidRPr="005E6F03">
        <w:t>Léky používané v léčbě akutního a chronického srdečního selhání – základní charakteristika, mechanismus účinku, rozdělení. Antiarytmika – základní charakteristika, mechanismus účinku, rozdělení, hlavní klinické indikace.</w:t>
      </w:r>
    </w:p>
    <w:p w:rsidR="005E6F03" w:rsidRPr="005E6F03" w:rsidRDefault="005E6F03" w:rsidP="005E6F03">
      <w:pPr>
        <w:jc w:val="both"/>
      </w:pPr>
    </w:p>
    <w:tbl>
      <w:tblPr>
        <w:tblStyle w:val="Mkatabulky"/>
        <w:tblW w:w="0" w:type="auto"/>
        <w:tblLook w:val="04A0" w:firstRow="1" w:lastRow="0" w:firstColumn="1" w:lastColumn="0" w:noHBand="0" w:noVBand="1"/>
      </w:tblPr>
      <w:tblGrid>
        <w:gridCol w:w="533"/>
        <w:gridCol w:w="880"/>
        <w:gridCol w:w="850"/>
        <w:gridCol w:w="851"/>
        <w:gridCol w:w="2977"/>
        <w:gridCol w:w="2971"/>
      </w:tblGrid>
      <w:tr w:rsidR="005E6F03" w:rsidRPr="005E6F03" w:rsidTr="00A650EF">
        <w:trPr>
          <w:trHeight w:val="600"/>
        </w:trPr>
        <w:tc>
          <w:tcPr>
            <w:tcW w:w="533" w:type="dxa"/>
            <w:vAlign w:val="center"/>
            <w:hideMark/>
          </w:tcPr>
          <w:p w:rsidR="005E6F03" w:rsidRPr="005E6F03" w:rsidRDefault="005E6F03" w:rsidP="00A650EF">
            <w:pPr>
              <w:jc w:val="center"/>
            </w:pPr>
            <w:r w:rsidRPr="005E6F03">
              <w:t>7A</w:t>
            </w:r>
          </w:p>
        </w:tc>
        <w:tc>
          <w:tcPr>
            <w:tcW w:w="880" w:type="dxa"/>
            <w:vAlign w:val="center"/>
            <w:hideMark/>
          </w:tcPr>
          <w:p w:rsidR="005E6F03" w:rsidRPr="005E6F03" w:rsidRDefault="005E6F03" w:rsidP="00A650EF">
            <w:pPr>
              <w:jc w:val="center"/>
            </w:pPr>
            <w:r w:rsidRPr="005E6F03">
              <w:t>24.11.</w:t>
            </w:r>
          </w:p>
          <w:p w:rsidR="005E6F03" w:rsidRPr="005E6F03" w:rsidRDefault="005E6F03" w:rsidP="00A650EF">
            <w:pPr>
              <w:jc w:val="center"/>
            </w:pPr>
            <w:r w:rsidRPr="005E6F03">
              <w:t>2020</w:t>
            </w:r>
          </w:p>
        </w:tc>
        <w:tc>
          <w:tcPr>
            <w:tcW w:w="850" w:type="dxa"/>
            <w:vAlign w:val="center"/>
            <w:hideMark/>
          </w:tcPr>
          <w:p w:rsidR="005E6F03" w:rsidRPr="005E6F03" w:rsidRDefault="005E6F03" w:rsidP="00A650EF">
            <w:pPr>
              <w:jc w:val="center"/>
            </w:pPr>
            <w:r w:rsidRPr="005E6F03">
              <w:t>9:15-12:35h</w:t>
            </w:r>
          </w:p>
        </w:tc>
        <w:tc>
          <w:tcPr>
            <w:tcW w:w="851" w:type="dxa"/>
            <w:vAlign w:val="center"/>
            <w:hideMark/>
          </w:tcPr>
          <w:p w:rsidR="005E6F03" w:rsidRPr="005E6F03" w:rsidRDefault="005E6F03" w:rsidP="00A650EF">
            <w:pPr>
              <w:jc w:val="center"/>
            </w:pPr>
            <w:r w:rsidRPr="005E6F03">
              <w:t>English</w:t>
            </w:r>
          </w:p>
        </w:tc>
        <w:tc>
          <w:tcPr>
            <w:tcW w:w="2977" w:type="dxa"/>
            <w:vAlign w:val="center"/>
            <w:hideMark/>
          </w:tcPr>
          <w:p w:rsidR="005E6F03" w:rsidRPr="005E6F03" w:rsidRDefault="005E6F03" w:rsidP="00A650EF">
            <w:pPr>
              <w:jc w:val="center"/>
            </w:pPr>
            <w:r w:rsidRPr="005E6F03">
              <w:t>TREATMENT OF HEART FAILURE AND ARHYTHMIAS</w:t>
            </w:r>
          </w:p>
        </w:tc>
        <w:tc>
          <w:tcPr>
            <w:tcW w:w="2971" w:type="dxa"/>
            <w:vAlign w:val="center"/>
            <w:hideMark/>
          </w:tcPr>
          <w:p w:rsidR="005E6F03" w:rsidRPr="005E6F03" w:rsidRDefault="005E6F03" w:rsidP="00A650EF">
            <w:pPr>
              <w:jc w:val="center"/>
            </w:pPr>
            <w:r w:rsidRPr="005E6F03">
              <w:t xml:space="preserve">doc. MUDr. Milan Hromádka, Ph.D.,       </w:t>
            </w:r>
          </w:p>
          <w:p w:rsidR="005E6F03" w:rsidRPr="005E6F03" w:rsidRDefault="005E6F03" w:rsidP="00A650EF">
            <w:pPr>
              <w:jc w:val="center"/>
            </w:pPr>
            <w:r w:rsidRPr="005E6F03">
              <w:t>doc. MUDr. Vlastimil Vančura, Ph.D.</w:t>
            </w:r>
          </w:p>
        </w:tc>
      </w:tr>
    </w:tbl>
    <w:p w:rsidR="005E6F03" w:rsidRPr="005E6F03" w:rsidRDefault="005E6F03" w:rsidP="005E6F03">
      <w:pPr>
        <w:jc w:val="both"/>
      </w:pPr>
      <w:r w:rsidRPr="005E6F03">
        <w:t>Pharmacological treatment of acute and chronic heart failure – basic characteristics of drugs, mechanism of action, groups of drugs.   Antiarhytmic drugs - basic characteristics, mechanism of action, groups of drugs, main clinical indications.</w:t>
      </w:r>
    </w:p>
    <w:p w:rsidR="00877E71" w:rsidRPr="005E6F03" w:rsidRDefault="00877E71" w:rsidP="004747E4">
      <w:pPr>
        <w:jc w:val="both"/>
      </w:pPr>
    </w:p>
    <w:tbl>
      <w:tblPr>
        <w:tblStyle w:val="Mkatabulky"/>
        <w:tblW w:w="0" w:type="auto"/>
        <w:tblLook w:val="04A0" w:firstRow="1" w:lastRow="0" w:firstColumn="1" w:lastColumn="0" w:noHBand="0" w:noVBand="1"/>
      </w:tblPr>
      <w:tblGrid>
        <w:gridCol w:w="481"/>
        <w:gridCol w:w="932"/>
        <w:gridCol w:w="1134"/>
        <w:gridCol w:w="850"/>
        <w:gridCol w:w="2977"/>
        <w:gridCol w:w="2688"/>
      </w:tblGrid>
      <w:tr w:rsidR="005E6F03" w:rsidRPr="005E6F03" w:rsidTr="00FD1CFB">
        <w:trPr>
          <w:trHeight w:val="600"/>
        </w:trPr>
        <w:tc>
          <w:tcPr>
            <w:tcW w:w="481" w:type="dxa"/>
            <w:vAlign w:val="center"/>
            <w:hideMark/>
          </w:tcPr>
          <w:p w:rsidR="00FD1CFB" w:rsidRPr="005E6F03" w:rsidRDefault="00FD1CFB" w:rsidP="00FD1CFB">
            <w:pPr>
              <w:jc w:val="center"/>
            </w:pPr>
            <w:r w:rsidRPr="005E6F03">
              <w:t>8</w:t>
            </w:r>
          </w:p>
        </w:tc>
        <w:tc>
          <w:tcPr>
            <w:tcW w:w="932" w:type="dxa"/>
            <w:vAlign w:val="center"/>
            <w:hideMark/>
          </w:tcPr>
          <w:p w:rsidR="00FD1CFB" w:rsidRPr="005E6F03" w:rsidRDefault="00FD1CFB" w:rsidP="00FD1CFB">
            <w:pPr>
              <w:jc w:val="center"/>
            </w:pPr>
            <w:r w:rsidRPr="005E6F03">
              <w:t>26.11.</w:t>
            </w:r>
          </w:p>
          <w:p w:rsidR="00FD1CFB" w:rsidRPr="005E6F03" w:rsidRDefault="00FD1CFB" w:rsidP="00FD1CFB">
            <w:pPr>
              <w:jc w:val="center"/>
            </w:pPr>
            <w:r w:rsidRPr="005E6F03">
              <w:t>2020</w:t>
            </w:r>
          </w:p>
        </w:tc>
        <w:tc>
          <w:tcPr>
            <w:tcW w:w="1134" w:type="dxa"/>
            <w:vAlign w:val="center"/>
            <w:hideMark/>
          </w:tcPr>
          <w:p w:rsidR="00FD1CFB" w:rsidRPr="005E6F03" w:rsidRDefault="00FD1CFB" w:rsidP="00FD1CFB">
            <w:pPr>
              <w:jc w:val="center"/>
            </w:pPr>
            <w:r w:rsidRPr="005E6F03">
              <w:t>10:10-12:40h</w:t>
            </w:r>
          </w:p>
        </w:tc>
        <w:tc>
          <w:tcPr>
            <w:tcW w:w="850" w:type="dxa"/>
            <w:vAlign w:val="center"/>
            <w:hideMark/>
          </w:tcPr>
          <w:p w:rsidR="00FD1CFB" w:rsidRPr="005E6F03" w:rsidRDefault="00FD1CFB" w:rsidP="00FD1CFB">
            <w:pPr>
              <w:jc w:val="center"/>
            </w:pPr>
            <w:r w:rsidRPr="005E6F03">
              <w:t>Česky</w:t>
            </w:r>
          </w:p>
        </w:tc>
        <w:tc>
          <w:tcPr>
            <w:tcW w:w="2977" w:type="dxa"/>
            <w:vAlign w:val="center"/>
            <w:hideMark/>
          </w:tcPr>
          <w:p w:rsidR="00FD1CFB" w:rsidRPr="005E6F03" w:rsidRDefault="00FD1CFB" w:rsidP="00FD1CFB">
            <w:pPr>
              <w:jc w:val="center"/>
            </w:pPr>
            <w:r w:rsidRPr="005E6F03">
              <w:t>LÉČIVA UŽÍVANÁ V LÉČBĚ ENDOKRINNÍCH NEMOCÍ VČETNĚ DIABETES MELLITUS</w:t>
            </w:r>
          </w:p>
        </w:tc>
        <w:tc>
          <w:tcPr>
            <w:tcW w:w="2688" w:type="dxa"/>
            <w:vAlign w:val="center"/>
            <w:hideMark/>
          </w:tcPr>
          <w:p w:rsidR="00FD1CFB" w:rsidRPr="005E6F03" w:rsidRDefault="00FD1CFB" w:rsidP="00FD1CFB">
            <w:pPr>
              <w:jc w:val="center"/>
            </w:pPr>
            <w:r w:rsidRPr="005E6F03">
              <w:t>MUDr. Michal Krčma, Ph.D.</w:t>
            </w:r>
          </w:p>
        </w:tc>
      </w:tr>
    </w:tbl>
    <w:p w:rsidR="00ED5C34" w:rsidRDefault="00ED5C34" w:rsidP="00ED5C34">
      <w:pPr>
        <w:jc w:val="both"/>
      </w:pPr>
      <w:r w:rsidRPr="005E6F03">
        <w:t xml:space="preserve">Přehled typů diabetu a mechanismů jejich </w:t>
      </w:r>
      <w:r>
        <w:t>vzniku. Dietní opatření a antiobezitická léčba. Přehled neinzulínových antidiabetik, indikace a kontraindikace. Inkretinová léčba. Inzulínová terapie. Výběr typu antidiabetika pro konkrétního pacienta.</w:t>
      </w:r>
    </w:p>
    <w:p w:rsidR="000459C7" w:rsidRDefault="00ED5C34" w:rsidP="00ED5C34">
      <w:pPr>
        <w:jc w:val="both"/>
      </w:pPr>
      <w:r>
        <w:t>Principy substituční léčby hormonálních deficitů. Léčba onemocnění štítné žlázy a příštítných tělísek. Onemocnění hypofýzy, akromegalie a léčba růstovým hormonem. Léčba onemocnění nadledvin, primární hyperaldosteronismus,  Cushingova choroba a kongenitální adrenální hyperplazie. Léčba gonadálních poruch. Osteoporóza a její léčba.</w:t>
      </w:r>
    </w:p>
    <w:p w:rsidR="00E14628" w:rsidRDefault="00E14628" w:rsidP="00ED5C34">
      <w:pPr>
        <w:jc w:val="both"/>
      </w:pPr>
    </w:p>
    <w:tbl>
      <w:tblPr>
        <w:tblStyle w:val="Mkatabulky"/>
        <w:tblW w:w="0" w:type="auto"/>
        <w:tblLook w:val="04A0" w:firstRow="1" w:lastRow="0" w:firstColumn="1" w:lastColumn="0" w:noHBand="0" w:noVBand="1"/>
      </w:tblPr>
      <w:tblGrid>
        <w:gridCol w:w="528"/>
        <w:gridCol w:w="885"/>
        <w:gridCol w:w="992"/>
        <w:gridCol w:w="992"/>
        <w:gridCol w:w="2977"/>
        <w:gridCol w:w="2688"/>
      </w:tblGrid>
      <w:tr w:rsidR="00ED5C34" w:rsidRPr="00ED5C34" w:rsidTr="00ED5C34">
        <w:trPr>
          <w:trHeight w:val="900"/>
        </w:trPr>
        <w:tc>
          <w:tcPr>
            <w:tcW w:w="528" w:type="dxa"/>
            <w:vAlign w:val="center"/>
            <w:hideMark/>
          </w:tcPr>
          <w:p w:rsidR="00ED5C34" w:rsidRPr="00ED5C34" w:rsidRDefault="00ED5C34" w:rsidP="00ED5C34">
            <w:pPr>
              <w:jc w:val="center"/>
            </w:pPr>
            <w:r w:rsidRPr="00ED5C34">
              <w:lastRenderedPageBreak/>
              <w:t>8A</w:t>
            </w:r>
          </w:p>
        </w:tc>
        <w:tc>
          <w:tcPr>
            <w:tcW w:w="885" w:type="dxa"/>
            <w:vAlign w:val="center"/>
            <w:hideMark/>
          </w:tcPr>
          <w:p w:rsidR="00ED5C34" w:rsidRDefault="00ED5C34" w:rsidP="00ED5C34">
            <w:pPr>
              <w:jc w:val="center"/>
            </w:pPr>
            <w:r w:rsidRPr="00ED5C34">
              <w:t>01.12.</w:t>
            </w:r>
          </w:p>
          <w:p w:rsidR="00ED5C34" w:rsidRPr="00ED5C34" w:rsidRDefault="00ED5C34" w:rsidP="00ED5C34">
            <w:pPr>
              <w:jc w:val="center"/>
            </w:pPr>
            <w:r w:rsidRPr="00ED5C34">
              <w:t>2020</w:t>
            </w:r>
          </w:p>
        </w:tc>
        <w:tc>
          <w:tcPr>
            <w:tcW w:w="992" w:type="dxa"/>
            <w:vAlign w:val="center"/>
            <w:hideMark/>
          </w:tcPr>
          <w:p w:rsidR="00ED5C34" w:rsidRPr="00ED5C34" w:rsidRDefault="00ED5C34" w:rsidP="00ED5C34">
            <w:pPr>
              <w:jc w:val="center"/>
            </w:pPr>
            <w:r w:rsidRPr="00ED5C34">
              <w:t>9:15-12:35h</w:t>
            </w:r>
          </w:p>
        </w:tc>
        <w:tc>
          <w:tcPr>
            <w:tcW w:w="992" w:type="dxa"/>
            <w:vAlign w:val="center"/>
            <w:hideMark/>
          </w:tcPr>
          <w:p w:rsidR="00ED5C34" w:rsidRPr="00ED5C34" w:rsidRDefault="00ED5C34" w:rsidP="00ED5C34">
            <w:pPr>
              <w:jc w:val="center"/>
            </w:pPr>
            <w:r w:rsidRPr="00ED5C34">
              <w:t>English</w:t>
            </w:r>
          </w:p>
        </w:tc>
        <w:tc>
          <w:tcPr>
            <w:tcW w:w="2977" w:type="dxa"/>
            <w:vAlign w:val="center"/>
            <w:hideMark/>
          </w:tcPr>
          <w:p w:rsidR="00ED5C34" w:rsidRPr="00ED5C34" w:rsidRDefault="00ED5C34" w:rsidP="00ED5C34">
            <w:pPr>
              <w:jc w:val="center"/>
            </w:pPr>
            <w:r w:rsidRPr="00ED5C34">
              <w:t>PHARMACOTHERAPY IN THE TREATMENT OF ENDOCRINE DISEASES INCLUDING DIABETES MELLITUS</w:t>
            </w:r>
          </w:p>
        </w:tc>
        <w:tc>
          <w:tcPr>
            <w:tcW w:w="2688" w:type="dxa"/>
            <w:vAlign w:val="center"/>
            <w:hideMark/>
          </w:tcPr>
          <w:p w:rsidR="00ED5C34" w:rsidRPr="00ED5C34" w:rsidRDefault="00ED5C34" w:rsidP="00ED5C34">
            <w:pPr>
              <w:jc w:val="center"/>
            </w:pPr>
            <w:r w:rsidRPr="00ED5C34">
              <w:t>MUDr. Michal Krčma, Ph.D.</w:t>
            </w:r>
          </w:p>
        </w:tc>
      </w:tr>
    </w:tbl>
    <w:p w:rsidR="004D311F" w:rsidRDefault="004D311F" w:rsidP="004D311F">
      <w:pPr>
        <w:jc w:val="both"/>
      </w:pPr>
      <w:r>
        <w:t>Overview of types of diabetes mellitus and causes of their origin. Diet and antiobesitic treatment. Overview of non-insulin antidiabetics, indications and contraindications. Incretin treatment. Insulin therapy. Tailored antidiabetic treatment.</w:t>
      </w:r>
    </w:p>
    <w:p w:rsidR="00ED5C34" w:rsidRDefault="004D311F" w:rsidP="004D311F">
      <w:pPr>
        <w:jc w:val="both"/>
      </w:pPr>
      <w:r>
        <w:t>Principles of hormone substitution therapy. Treatment of diseases of the thyroid gland and parathyroid glands. Pituitary disease, acromegaly and growth hormone treatment. Treatment of adrenal disease, primary hyperaldosteronism, Cushing's disease and congenital adrenal hyperplasia. Treatment of gonadal disorders. Osteoporosis and its treatment.</w:t>
      </w:r>
    </w:p>
    <w:p w:rsidR="00A57ECF" w:rsidRDefault="00A57ECF" w:rsidP="004747E4">
      <w:pPr>
        <w:jc w:val="both"/>
      </w:pPr>
      <w:r>
        <w:fldChar w:fldCharType="begin"/>
      </w:r>
      <w:r>
        <w:instrText xml:space="preserve"> LINK Excel.Sheet.8 "C:\\Users\\rkucera\\Documents\\AAA\\Farmakologie\\Výuka Farmakologie všeob lék ZS 2020-21 def.xls" "Sheet1!R19C1:R19C6" \a \f 5 \h  \* MERGEFORMAT </w:instrText>
      </w:r>
      <w:r>
        <w:fldChar w:fldCharType="separate"/>
      </w:r>
    </w:p>
    <w:tbl>
      <w:tblPr>
        <w:tblStyle w:val="Mkatabulky"/>
        <w:tblW w:w="9067" w:type="dxa"/>
        <w:tblLook w:val="04A0" w:firstRow="1" w:lastRow="0" w:firstColumn="1" w:lastColumn="0" w:noHBand="0" w:noVBand="1"/>
      </w:tblPr>
      <w:tblGrid>
        <w:gridCol w:w="448"/>
        <w:gridCol w:w="1220"/>
        <w:gridCol w:w="1107"/>
        <w:gridCol w:w="761"/>
        <w:gridCol w:w="2838"/>
        <w:gridCol w:w="2693"/>
      </w:tblGrid>
      <w:tr w:rsidR="00A57ECF" w:rsidRPr="00A57ECF" w:rsidTr="00F870FA">
        <w:trPr>
          <w:trHeight w:val="944"/>
        </w:trPr>
        <w:tc>
          <w:tcPr>
            <w:tcW w:w="448" w:type="dxa"/>
            <w:vAlign w:val="center"/>
            <w:hideMark/>
          </w:tcPr>
          <w:p w:rsidR="00A57ECF" w:rsidRPr="00A57ECF" w:rsidRDefault="00A57ECF" w:rsidP="00F870FA">
            <w:pPr>
              <w:jc w:val="center"/>
            </w:pPr>
            <w:r w:rsidRPr="00A57ECF">
              <w:t>9</w:t>
            </w:r>
          </w:p>
        </w:tc>
        <w:tc>
          <w:tcPr>
            <w:tcW w:w="1220" w:type="dxa"/>
            <w:vAlign w:val="center"/>
            <w:hideMark/>
          </w:tcPr>
          <w:p w:rsidR="00A57ECF" w:rsidRPr="00A57ECF" w:rsidRDefault="00A57ECF" w:rsidP="00F870FA">
            <w:pPr>
              <w:jc w:val="center"/>
            </w:pPr>
            <w:proofErr w:type="gramStart"/>
            <w:r w:rsidRPr="00A57ECF">
              <w:t>03.12.</w:t>
            </w:r>
            <w:r w:rsidR="00F870FA">
              <w:t xml:space="preserve"> </w:t>
            </w:r>
            <w:r w:rsidRPr="00A57ECF">
              <w:t>2020</w:t>
            </w:r>
            <w:proofErr w:type="gramEnd"/>
          </w:p>
        </w:tc>
        <w:tc>
          <w:tcPr>
            <w:tcW w:w="1107" w:type="dxa"/>
            <w:vAlign w:val="center"/>
            <w:hideMark/>
          </w:tcPr>
          <w:p w:rsidR="00A57ECF" w:rsidRDefault="00A57ECF" w:rsidP="00F870FA">
            <w:pPr>
              <w:jc w:val="center"/>
            </w:pPr>
            <w:r w:rsidRPr="00A57ECF">
              <w:t>10:10-</w:t>
            </w:r>
          </w:p>
          <w:p w:rsidR="00A57ECF" w:rsidRPr="00A57ECF" w:rsidRDefault="00A57ECF" w:rsidP="00F870FA">
            <w:pPr>
              <w:jc w:val="center"/>
            </w:pPr>
            <w:r w:rsidRPr="00A57ECF">
              <w:t>12:40h</w:t>
            </w:r>
          </w:p>
        </w:tc>
        <w:tc>
          <w:tcPr>
            <w:tcW w:w="761" w:type="dxa"/>
            <w:vAlign w:val="center"/>
            <w:hideMark/>
          </w:tcPr>
          <w:p w:rsidR="00A57ECF" w:rsidRPr="00A57ECF" w:rsidRDefault="00A57ECF" w:rsidP="00F870FA">
            <w:pPr>
              <w:jc w:val="center"/>
            </w:pPr>
            <w:r w:rsidRPr="00A57ECF">
              <w:t>Česky</w:t>
            </w:r>
          </w:p>
        </w:tc>
        <w:tc>
          <w:tcPr>
            <w:tcW w:w="2838" w:type="dxa"/>
            <w:vAlign w:val="center"/>
            <w:hideMark/>
          </w:tcPr>
          <w:p w:rsidR="00A57ECF" w:rsidRPr="00A57ECF" w:rsidRDefault="00A57ECF" w:rsidP="00F870FA">
            <w:pPr>
              <w:jc w:val="center"/>
            </w:pPr>
            <w:r w:rsidRPr="00A57ECF">
              <w:t>LÉČIVA UŽÍVANÁ V GASTROENTEROLOGII A HEPATOLOGII</w:t>
            </w:r>
          </w:p>
        </w:tc>
        <w:tc>
          <w:tcPr>
            <w:tcW w:w="2693" w:type="dxa"/>
            <w:vAlign w:val="center"/>
            <w:hideMark/>
          </w:tcPr>
          <w:p w:rsidR="00A57ECF" w:rsidRPr="00A57ECF" w:rsidRDefault="00A57ECF" w:rsidP="00F870FA">
            <w:pPr>
              <w:jc w:val="center"/>
            </w:pPr>
            <w:r w:rsidRPr="00A57ECF">
              <w:t xml:space="preserve">MUDr. Karel </w:t>
            </w:r>
            <w:proofErr w:type="spellStart"/>
            <w:r w:rsidRPr="00A57ECF">
              <w:t>Balihar</w:t>
            </w:r>
            <w:proofErr w:type="spellEnd"/>
            <w:r w:rsidRPr="00A57ECF">
              <w:t>, Ph.D.                         MUDr. Václav Hejda</w:t>
            </w:r>
          </w:p>
        </w:tc>
      </w:tr>
    </w:tbl>
    <w:p w:rsidR="00A57ECF" w:rsidRDefault="00A57ECF" w:rsidP="004747E4">
      <w:pPr>
        <w:jc w:val="both"/>
      </w:pPr>
      <w:r>
        <w:fldChar w:fldCharType="end"/>
      </w:r>
      <w:r w:rsidR="00680ECD" w:rsidRPr="00680ECD">
        <w:t>Farmakoterapie v gastroenterologii a hepatologii představí hlavní terapeutické možnosti v rámci jednotlivých nosologických jednotek. Nosnými tématy jsou farmakoterapie refluxní nemoci jícnu, vředové choroby gastroduodena, idiopatických střevních zánětů a terapeutické přístupy v hepatologii. Klademe důraz na praktické využití dle současných trendů medicíny založené na důkazech.</w:t>
      </w:r>
    </w:p>
    <w:p w:rsidR="00680ECD" w:rsidRDefault="00680ECD" w:rsidP="004747E4">
      <w:pPr>
        <w:jc w:val="both"/>
      </w:pPr>
    </w:p>
    <w:tbl>
      <w:tblPr>
        <w:tblStyle w:val="Mkatabulky"/>
        <w:tblW w:w="0" w:type="auto"/>
        <w:tblLook w:val="04A0" w:firstRow="1" w:lastRow="0" w:firstColumn="1" w:lastColumn="0" w:noHBand="0" w:noVBand="1"/>
      </w:tblPr>
      <w:tblGrid>
        <w:gridCol w:w="523"/>
        <w:gridCol w:w="1229"/>
        <w:gridCol w:w="1138"/>
        <w:gridCol w:w="918"/>
        <w:gridCol w:w="3035"/>
        <w:gridCol w:w="2219"/>
      </w:tblGrid>
      <w:tr w:rsidR="00680ECD" w:rsidRPr="00680ECD" w:rsidTr="006E721C">
        <w:trPr>
          <w:trHeight w:val="600"/>
        </w:trPr>
        <w:tc>
          <w:tcPr>
            <w:tcW w:w="523" w:type="dxa"/>
            <w:vAlign w:val="center"/>
            <w:hideMark/>
          </w:tcPr>
          <w:p w:rsidR="00680ECD" w:rsidRPr="00680ECD" w:rsidRDefault="00680ECD" w:rsidP="00680ECD">
            <w:pPr>
              <w:jc w:val="center"/>
            </w:pPr>
            <w:r w:rsidRPr="00680ECD">
              <w:t>9A</w:t>
            </w:r>
          </w:p>
        </w:tc>
        <w:tc>
          <w:tcPr>
            <w:tcW w:w="1229" w:type="dxa"/>
            <w:vAlign w:val="center"/>
            <w:hideMark/>
          </w:tcPr>
          <w:p w:rsidR="00680ECD" w:rsidRPr="00680ECD" w:rsidRDefault="00680ECD" w:rsidP="00680ECD">
            <w:pPr>
              <w:jc w:val="center"/>
            </w:pPr>
            <w:r w:rsidRPr="00680ECD">
              <w:t>08.12.</w:t>
            </w:r>
            <w:r w:rsidR="00F870FA">
              <w:t xml:space="preserve"> </w:t>
            </w:r>
            <w:r w:rsidRPr="00680ECD">
              <w:t>2020</w:t>
            </w:r>
          </w:p>
        </w:tc>
        <w:tc>
          <w:tcPr>
            <w:tcW w:w="1138" w:type="dxa"/>
            <w:vAlign w:val="center"/>
            <w:hideMark/>
          </w:tcPr>
          <w:p w:rsidR="00680ECD" w:rsidRPr="00680ECD" w:rsidRDefault="00680ECD" w:rsidP="00680ECD">
            <w:pPr>
              <w:jc w:val="center"/>
            </w:pPr>
            <w:r w:rsidRPr="00680ECD">
              <w:t>9:15-12:35h</w:t>
            </w:r>
          </w:p>
        </w:tc>
        <w:tc>
          <w:tcPr>
            <w:tcW w:w="918" w:type="dxa"/>
            <w:vAlign w:val="center"/>
            <w:hideMark/>
          </w:tcPr>
          <w:p w:rsidR="00680ECD" w:rsidRPr="00680ECD" w:rsidRDefault="00680ECD" w:rsidP="00680ECD">
            <w:pPr>
              <w:jc w:val="center"/>
            </w:pPr>
            <w:r w:rsidRPr="00680ECD">
              <w:t>English</w:t>
            </w:r>
          </w:p>
        </w:tc>
        <w:tc>
          <w:tcPr>
            <w:tcW w:w="3035" w:type="dxa"/>
            <w:vAlign w:val="center"/>
            <w:hideMark/>
          </w:tcPr>
          <w:p w:rsidR="00680ECD" w:rsidRPr="00680ECD" w:rsidRDefault="00680ECD" w:rsidP="00680ECD">
            <w:pPr>
              <w:jc w:val="center"/>
            </w:pPr>
            <w:r w:rsidRPr="00680ECD">
              <w:t>PHARMACOTHERAPY IN GASTROENTEROLOGY AND HEPATOLOGY</w:t>
            </w:r>
          </w:p>
        </w:tc>
        <w:tc>
          <w:tcPr>
            <w:tcW w:w="2219" w:type="dxa"/>
            <w:vAlign w:val="center"/>
            <w:hideMark/>
          </w:tcPr>
          <w:p w:rsidR="00680ECD" w:rsidRPr="00680ECD" w:rsidRDefault="00680ECD" w:rsidP="00680ECD">
            <w:pPr>
              <w:jc w:val="center"/>
            </w:pPr>
            <w:r w:rsidRPr="00680ECD">
              <w:t>MUDr. Jan Kotyza                                          MUDr. Václav Hejda</w:t>
            </w:r>
          </w:p>
        </w:tc>
      </w:tr>
    </w:tbl>
    <w:p w:rsidR="00680ECD" w:rsidRPr="005E6F03" w:rsidRDefault="006E721C" w:rsidP="004747E4">
      <w:pPr>
        <w:jc w:val="both"/>
      </w:pPr>
      <w:r w:rsidRPr="006E721C">
        <w:t xml:space="preserve">Pharmacotherapy in gastroenterology and hepatology will be presented, the main therapeutic options within individual nosological units. The main topics are pharmacotherapy of esophageal reflux disease, </w:t>
      </w:r>
      <w:r w:rsidRPr="005E6F03">
        <w:t>gastroduodenal ulcers, idiopathic intestinal inflammation and therapeutic approaches in hepatology. Practical use according to the current trends in evidence-based medicine is emphasized.</w:t>
      </w:r>
    </w:p>
    <w:p w:rsidR="004D72E7" w:rsidRPr="005E6F03" w:rsidRDefault="004D72E7" w:rsidP="004D72E7">
      <w:pPr>
        <w:jc w:val="both"/>
      </w:pPr>
    </w:p>
    <w:tbl>
      <w:tblPr>
        <w:tblStyle w:val="Mkatabulky"/>
        <w:tblW w:w="0" w:type="auto"/>
        <w:tblLook w:val="04A0" w:firstRow="1" w:lastRow="0" w:firstColumn="1" w:lastColumn="0" w:noHBand="0" w:noVBand="1"/>
      </w:tblPr>
      <w:tblGrid>
        <w:gridCol w:w="530"/>
        <w:gridCol w:w="1035"/>
        <w:gridCol w:w="1196"/>
        <w:gridCol w:w="880"/>
        <w:gridCol w:w="2450"/>
        <w:gridCol w:w="2971"/>
      </w:tblGrid>
      <w:tr w:rsidR="005E6F03" w:rsidRPr="005E6F03" w:rsidTr="00DE2536">
        <w:trPr>
          <w:trHeight w:val="300"/>
        </w:trPr>
        <w:tc>
          <w:tcPr>
            <w:tcW w:w="530" w:type="dxa"/>
            <w:vAlign w:val="center"/>
            <w:hideMark/>
          </w:tcPr>
          <w:p w:rsidR="004D72E7" w:rsidRPr="005E6F03" w:rsidRDefault="004D72E7" w:rsidP="00DE2536">
            <w:pPr>
              <w:jc w:val="center"/>
            </w:pPr>
            <w:r w:rsidRPr="005E6F03">
              <w:t>10</w:t>
            </w:r>
          </w:p>
        </w:tc>
        <w:tc>
          <w:tcPr>
            <w:tcW w:w="1035" w:type="dxa"/>
            <w:vAlign w:val="center"/>
            <w:hideMark/>
          </w:tcPr>
          <w:p w:rsidR="004D72E7" w:rsidRPr="005E6F03" w:rsidRDefault="004D72E7" w:rsidP="00DE2536">
            <w:pPr>
              <w:jc w:val="center"/>
            </w:pPr>
            <w:r w:rsidRPr="005E6F03">
              <w:t>10.12.</w:t>
            </w:r>
          </w:p>
          <w:p w:rsidR="004D72E7" w:rsidRPr="005E6F03" w:rsidRDefault="004D72E7" w:rsidP="00DE2536">
            <w:pPr>
              <w:jc w:val="center"/>
            </w:pPr>
            <w:r w:rsidRPr="005E6F03">
              <w:t>2020</w:t>
            </w:r>
          </w:p>
        </w:tc>
        <w:tc>
          <w:tcPr>
            <w:tcW w:w="1196" w:type="dxa"/>
            <w:vAlign w:val="center"/>
            <w:hideMark/>
          </w:tcPr>
          <w:p w:rsidR="004D72E7" w:rsidRPr="005E6F03" w:rsidRDefault="004D72E7" w:rsidP="00DE2536">
            <w:pPr>
              <w:jc w:val="center"/>
            </w:pPr>
            <w:r w:rsidRPr="005E6F03">
              <w:t>10:10-12:40h</w:t>
            </w:r>
          </w:p>
        </w:tc>
        <w:tc>
          <w:tcPr>
            <w:tcW w:w="880" w:type="dxa"/>
            <w:vAlign w:val="center"/>
            <w:hideMark/>
          </w:tcPr>
          <w:p w:rsidR="004D72E7" w:rsidRPr="005E6F03" w:rsidRDefault="004D72E7" w:rsidP="00DE2536">
            <w:pPr>
              <w:jc w:val="center"/>
            </w:pPr>
            <w:r w:rsidRPr="005E6F03">
              <w:t>Česky</w:t>
            </w:r>
          </w:p>
        </w:tc>
        <w:tc>
          <w:tcPr>
            <w:tcW w:w="2450" w:type="dxa"/>
            <w:vAlign w:val="center"/>
            <w:hideMark/>
          </w:tcPr>
          <w:p w:rsidR="004D72E7" w:rsidRPr="005E6F03" w:rsidRDefault="004D72E7" w:rsidP="00DE2536">
            <w:pPr>
              <w:jc w:val="center"/>
            </w:pPr>
            <w:r w:rsidRPr="005E6F03">
              <w:t>LÉČIVA UŽÍVANÁ V PNEUMOLOGII</w:t>
            </w:r>
          </w:p>
        </w:tc>
        <w:tc>
          <w:tcPr>
            <w:tcW w:w="2971" w:type="dxa"/>
            <w:vAlign w:val="center"/>
            <w:hideMark/>
          </w:tcPr>
          <w:p w:rsidR="004D72E7" w:rsidRPr="005E6F03" w:rsidRDefault="00627BE9" w:rsidP="00DE2536">
            <w:pPr>
              <w:jc w:val="center"/>
            </w:pPr>
            <w:r w:rsidRPr="005E6F03">
              <w:t>MUDr.Gabriela Krákorová, Ph.D.</w:t>
            </w:r>
          </w:p>
        </w:tc>
      </w:tr>
    </w:tbl>
    <w:p w:rsidR="004D72E7" w:rsidRPr="005E6F03" w:rsidRDefault="00596DCC" w:rsidP="004D72E7">
      <w:pPr>
        <w:jc w:val="both"/>
      </w:pPr>
      <w:r w:rsidRPr="005E6F03">
        <w:t>Farmakoterapie v pneumologii představí hlavní terapeutické možnosti v rámci jednotlivých nosologických jednotek. Uveden je přehled léčiv dle terapeutických skupin a způsobů podání. Jednotlivé lékové skupiny budou představeny s ohledem na současné doporučené léčebné a indikační postupy.</w:t>
      </w:r>
    </w:p>
    <w:p w:rsidR="002B18BE" w:rsidRPr="005E6F03" w:rsidRDefault="002B18BE" w:rsidP="004D72E7">
      <w:pPr>
        <w:jc w:val="both"/>
      </w:pPr>
    </w:p>
    <w:tbl>
      <w:tblPr>
        <w:tblStyle w:val="Mkatabulky"/>
        <w:tblW w:w="0" w:type="auto"/>
        <w:tblLook w:val="04A0" w:firstRow="1" w:lastRow="0" w:firstColumn="1" w:lastColumn="0" w:noHBand="0" w:noVBand="1"/>
      </w:tblPr>
      <w:tblGrid>
        <w:gridCol w:w="584"/>
        <w:gridCol w:w="1008"/>
        <w:gridCol w:w="1159"/>
        <w:gridCol w:w="923"/>
        <w:gridCol w:w="2417"/>
        <w:gridCol w:w="2971"/>
      </w:tblGrid>
      <w:tr w:rsidR="005E6F03" w:rsidRPr="005E6F03" w:rsidTr="00DE2536">
        <w:trPr>
          <w:trHeight w:val="600"/>
        </w:trPr>
        <w:tc>
          <w:tcPr>
            <w:tcW w:w="584" w:type="dxa"/>
            <w:vAlign w:val="center"/>
            <w:hideMark/>
          </w:tcPr>
          <w:p w:rsidR="004D72E7" w:rsidRPr="005E6F03" w:rsidRDefault="004D72E7" w:rsidP="00DE2536">
            <w:pPr>
              <w:jc w:val="center"/>
            </w:pPr>
            <w:r w:rsidRPr="005E6F03">
              <w:t>10A</w:t>
            </w:r>
          </w:p>
        </w:tc>
        <w:tc>
          <w:tcPr>
            <w:tcW w:w="1008" w:type="dxa"/>
            <w:vAlign w:val="center"/>
            <w:hideMark/>
          </w:tcPr>
          <w:p w:rsidR="004D72E7" w:rsidRPr="005E6F03" w:rsidRDefault="004D72E7" w:rsidP="00DE2536">
            <w:pPr>
              <w:jc w:val="center"/>
            </w:pPr>
            <w:r w:rsidRPr="005E6F03">
              <w:t>15.12.</w:t>
            </w:r>
          </w:p>
          <w:p w:rsidR="004D72E7" w:rsidRPr="005E6F03" w:rsidRDefault="004D72E7" w:rsidP="00DE2536">
            <w:pPr>
              <w:jc w:val="center"/>
            </w:pPr>
            <w:r w:rsidRPr="005E6F03">
              <w:t>2020</w:t>
            </w:r>
          </w:p>
        </w:tc>
        <w:tc>
          <w:tcPr>
            <w:tcW w:w="1159" w:type="dxa"/>
            <w:vAlign w:val="center"/>
            <w:hideMark/>
          </w:tcPr>
          <w:p w:rsidR="004D72E7" w:rsidRPr="005E6F03" w:rsidRDefault="004D72E7" w:rsidP="00DE2536">
            <w:pPr>
              <w:jc w:val="center"/>
            </w:pPr>
            <w:r w:rsidRPr="005E6F03">
              <w:t>9:15-12:35h</w:t>
            </w:r>
          </w:p>
        </w:tc>
        <w:tc>
          <w:tcPr>
            <w:tcW w:w="923" w:type="dxa"/>
            <w:vAlign w:val="center"/>
            <w:hideMark/>
          </w:tcPr>
          <w:p w:rsidR="004D72E7" w:rsidRPr="005E6F03" w:rsidRDefault="004D72E7" w:rsidP="00DE2536">
            <w:pPr>
              <w:jc w:val="center"/>
            </w:pPr>
            <w:r w:rsidRPr="005E6F03">
              <w:t>English</w:t>
            </w:r>
          </w:p>
        </w:tc>
        <w:tc>
          <w:tcPr>
            <w:tcW w:w="2417" w:type="dxa"/>
            <w:vAlign w:val="center"/>
            <w:hideMark/>
          </w:tcPr>
          <w:p w:rsidR="004D72E7" w:rsidRPr="005E6F03" w:rsidRDefault="004D72E7" w:rsidP="00DE2536">
            <w:pPr>
              <w:jc w:val="center"/>
            </w:pPr>
            <w:r w:rsidRPr="005E6F03">
              <w:t>PHARMACOTHERAPY USED IN PNEUMOLOGY</w:t>
            </w:r>
          </w:p>
        </w:tc>
        <w:tc>
          <w:tcPr>
            <w:tcW w:w="2971" w:type="dxa"/>
            <w:vAlign w:val="center"/>
            <w:hideMark/>
          </w:tcPr>
          <w:p w:rsidR="004D72E7" w:rsidRPr="005E6F03" w:rsidRDefault="00627BE9" w:rsidP="00DE2536">
            <w:pPr>
              <w:jc w:val="center"/>
            </w:pPr>
            <w:r w:rsidRPr="005E6F03">
              <w:t>MUDr.Gabriela Krákorová, Ph.D.</w:t>
            </w:r>
          </w:p>
        </w:tc>
      </w:tr>
    </w:tbl>
    <w:p w:rsidR="008039F8" w:rsidRPr="005E6F03" w:rsidRDefault="002B18BE" w:rsidP="004747E4">
      <w:pPr>
        <w:jc w:val="both"/>
      </w:pPr>
      <w:r w:rsidRPr="005E6F03">
        <w:t>Pharmacotherapy in pneumology will present the main therapeutic options within individual nosological units. An overview of drugs according to therapeutic groups and routes of administration is given. The individual drug groups will be presented with regard to the current recommended treatment and indication guidelines.</w:t>
      </w:r>
    </w:p>
    <w:p w:rsidR="002B18BE" w:rsidRPr="005E6F03" w:rsidRDefault="002B18BE" w:rsidP="004747E4">
      <w:pPr>
        <w:jc w:val="both"/>
      </w:pPr>
    </w:p>
    <w:tbl>
      <w:tblPr>
        <w:tblStyle w:val="Mkatabulky"/>
        <w:tblW w:w="0" w:type="auto"/>
        <w:tblLook w:val="04A0" w:firstRow="1" w:lastRow="0" w:firstColumn="1" w:lastColumn="0" w:noHBand="0" w:noVBand="1"/>
      </w:tblPr>
      <w:tblGrid>
        <w:gridCol w:w="530"/>
        <w:gridCol w:w="1039"/>
        <w:gridCol w:w="1203"/>
        <w:gridCol w:w="883"/>
        <w:gridCol w:w="2845"/>
        <w:gridCol w:w="2562"/>
      </w:tblGrid>
      <w:tr w:rsidR="007E36AF" w:rsidRPr="008039F8" w:rsidTr="007E36AF">
        <w:trPr>
          <w:trHeight w:val="300"/>
        </w:trPr>
        <w:tc>
          <w:tcPr>
            <w:tcW w:w="530" w:type="dxa"/>
            <w:vAlign w:val="center"/>
            <w:hideMark/>
          </w:tcPr>
          <w:p w:rsidR="008039F8" w:rsidRPr="008039F8" w:rsidRDefault="008039F8" w:rsidP="007E36AF">
            <w:pPr>
              <w:jc w:val="center"/>
            </w:pPr>
            <w:r w:rsidRPr="008039F8">
              <w:lastRenderedPageBreak/>
              <w:t>11</w:t>
            </w:r>
          </w:p>
        </w:tc>
        <w:tc>
          <w:tcPr>
            <w:tcW w:w="1039" w:type="dxa"/>
            <w:vAlign w:val="center"/>
            <w:hideMark/>
          </w:tcPr>
          <w:p w:rsidR="007E36AF" w:rsidRDefault="008039F8" w:rsidP="007E36AF">
            <w:pPr>
              <w:jc w:val="center"/>
            </w:pPr>
            <w:r w:rsidRPr="008039F8">
              <w:t>17.12.</w:t>
            </w:r>
          </w:p>
          <w:p w:rsidR="008039F8" w:rsidRPr="008039F8" w:rsidRDefault="008039F8" w:rsidP="007E36AF">
            <w:pPr>
              <w:jc w:val="center"/>
            </w:pPr>
            <w:r w:rsidRPr="008039F8">
              <w:t>2020</w:t>
            </w:r>
          </w:p>
        </w:tc>
        <w:tc>
          <w:tcPr>
            <w:tcW w:w="1203" w:type="dxa"/>
            <w:vAlign w:val="center"/>
            <w:hideMark/>
          </w:tcPr>
          <w:p w:rsidR="008039F8" w:rsidRPr="008039F8" w:rsidRDefault="008039F8" w:rsidP="007E36AF">
            <w:pPr>
              <w:jc w:val="center"/>
            </w:pPr>
            <w:r w:rsidRPr="008039F8">
              <w:t>10:10-12:40h</w:t>
            </w:r>
          </w:p>
        </w:tc>
        <w:tc>
          <w:tcPr>
            <w:tcW w:w="883" w:type="dxa"/>
            <w:vAlign w:val="center"/>
            <w:hideMark/>
          </w:tcPr>
          <w:p w:rsidR="008039F8" w:rsidRPr="008039F8" w:rsidRDefault="008039F8" w:rsidP="007E36AF">
            <w:pPr>
              <w:jc w:val="center"/>
            </w:pPr>
            <w:r w:rsidRPr="008039F8">
              <w:t>Česky</w:t>
            </w:r>
          </w:p>
        </w:tc>
        <w:tc>
          <w:tcPr>
            <w:tcW w:w="2845" w:type="dxa"/>
            <w:vAlign w:val="center"/>
            <w:hideMark/>
          </w:tcPr>
          <w:p w:rsidR="008039F8" w:rsidRPr="008039F8" w:rsidRDefault="008039F8" w:rsidP="007E36AF">
            <w:pPr>
              <w:jc w:val="center"/>
            </w:pPr>
            <w:r w:rsidRPr="008039F8">
              <w:t>LÉČIVA POUŽÍVANÁ V ONKOLOGII</w:t>
            </w:r>
          </w:p>
        </w:tc>
        <w:tc>
          <w:tcPr>
            <w:tcW w:w="2562" w:type="dxa"/>
            <w:vAlign w:val="center"/>
            <w:hideMark/>
          </w:tcPr>
          <w:p w:rsidR="008039F8" w:rsidRPr="008039F8" w:rsidRDefault="008039F8" w:rsidP="007E36AF">
            <w:pPr>
              <w:jc w:val="center"/>
            </w:pPr>
            <w:r w:rsidRPr="008039F8">
              <w:t>prof. MUDr. Jindřich Fínek, Ph.D.</w:t>
            </w:r>
          </w:p>
        </w:tc>
      </w:tr>
    </w:tbl>
    <w:p w:rsidR="008039F8" w:rsidRDefault="007E36AF" w:rsidP="007E36AF">
      <w:pPr>
        <w:jc w:val="both"/>
      </w:pPr>
      <w:r>
        <w:t>Cytostatická léčba, preparáty, mechanismus účinku, toxicita Imunoterapie, preparáty, mechanismus účinku, toxicita. Hormonální  léčba, mechanismus účink, toxicita. Podpůrná léčba v onkologii, růstové faktory.</w:t>
      </w:r>
    </w:p>
    <w:p w:rsidR="00E31CE5" w:rsidRDefault="00E31CE5" w:rsidP="004747E4">
      <w:pPr>
        <w:jc w:val="both"/>
      </w:pPr>
    </w:p>
    <w:tbl>
      <w:tblPr>
        <w:tblStyle w:val="Mkatabulky"/>
        <w:tblW w:w="0" w:type="auto"/>
        <w:tblLook w:val="04A0" w:firstRow="1" w:lastRow="0" w:firstColumn="1" w:lastColumn="0" w:noHBand="0" w:noVBand="1"/>
      </w:tblPr>
      <w:tblGrid>
        <w:gridCol w:w="586"/>
        <w:gridCol w:w="1029"/>
        <w:gridCol w:w="1189"/>
        <w:gridCol w:w="930"/>
        <w:gridCol w:w="2826"/>
        <w:gridCol w:w="2502"/>
      </w:tblGrid>
      <w:tr w:rsidR="007E36AF" w:rsidRPr="007E36AF" w:rsidTr="007E36AF">
        <w:trPr>
          <w:trHeight w:val="300"/>
        </w:trPr>
        <w:tc>
          <w:tcPr>
            <w:tcW w:w="586" w:type="dxa"/>
            <w:vAlign w:val="center"/>
            <w:hideMark/>
          </w:tcPr>
          <w:p w:rsidR="007E36AF" w:rsidRPr="007E36AF" w:rsidRDefault="007E36AF" w:rsidP="007E36AF">
            <w:pPr>
              <w:jc w:val="center"/>
            </w:pPr>
            <w:r w:rsidRPr="007E36AF">
              <w:t>11A</w:t>
            </w:r>
          </w:p>
        </w:tc>
        <w:tc>
          <w:tcPr>
            <w:tcW w:w="1029" w:type="dxa"/>
            <w:vAlign w:val="center"/>
            <w:hideMark/>
          </w:tcPr>
          <w:p w:rsidR="007E36AF" w:rsidRDefault="007E36AF" w:rsidP="007E36AF">
            <w:pPr>
              <w:jc w:val="center"/>
            </w:pPr>
            <w:r w:rsidRPr="007E36AF">
              <w:t>22.12.</w:t>
            </w:r>
          </w:p>
          <w:p w:rsidR="007E36AF" w:rsidRPr="007E36AF" w:rsidRDefault="007E36AF" w:rsidP="007E36AF">
            <w:pPr>
              <w:jc w:val="center"/>
            </w:pPr>
            <w:r w:rsidRPr="007E36AF">
              <w:t>2020</w:t>
            </w:r>
          </w:p>
        </w:tc>
        <w:tc>
          <w:tcPr>
            <w:tcW w:w="1189" w:type="dxa"/>
            <w:vAlign w:val="center"/>
            <w:hideMark/>
          </w:tcPr>
          <w:p w:rsidR="007E36AF" w:rsidRPr="007E36AF" w:rsidRDefault="007E36AF" w:rsidP="007E36AF">
            <w:pPr>
              <w:jc w:val="center"/>
            </w:pPr>
            <w:r w:rsidRPr="007E36AF">
              <w:t>9:15-12:35h</w:t>
            </w:r>
          </w:p>
        </w:tc>
        <w:tc>
          <w:tcPr>
            <w:tcW w:w="930" w:type="dxa"/>
            <w:vAlign w:val="center"/>
            <w:hideMark/>
          </w:tcPr>
          <w:p w:rsidR="007E36AF" w:rsidRPr="007E36AF" w:rsidRDefault="007E36AF" w:rsidP="007E36AF">
            <w:pPr>
              <w:jc w:val="center"/>
            </w:pPr>
            <w:r w:rsidRPr="007E36AF">
              <w:t>English</w:t>
            </w:r>
          </w:p>
        </w:tc>
        <w:tc>
          <w:tcPr>
            <w:tcW w:w="2826" w:type="dxa"/>
            <w:vAlign w:val="center"/>
            <w:hideMark/>
          </w:tcPr>
          <w:p w:rsidR="007E36AF" w:rsidRPr="007E36AF" w:rsidRDefault="007E36AF" w:rsidP="007E36AF">
            <w:pPr>
              <w:jc w:val="center"/>
            </w:pPr>
            <w:r w:rsidRPr="007E36AF">
              <w:t>ANTICANCER DRUGS</w:t>
            </w:r>
          </w:p>
        </w:tc>
        <w:tc>
          <w:tcPr>
            <w:tcW w:w="2502" w:type="dxa"/>
            <w:vAlign w:val="center"/>
            <w:hideMark/>
          </w:tcPr>
          <w:p w:rsidR="007E36AF" w:rsidRPr="007E36AF" w:rsidRDefault="007E36AF" w:rsidP="007E36AF">
            <w:pPr>
              <w:jc w:val="center"/>
            </w:pPr>
            <w:r w:rsidRPr="007E36AF">
              <w:t>prof. MUDr. Jindřich Fínek, Ph.D.</w:t>
            </w:r>
          </w:p>
        </w:tc>
      </w:tr>
    </w:tbl>
    <w:p w:rsidR="007E36AF" w:rsidRPr="006206F3" w:rsidRDefault="007E36AF" w:rsidP="007E36AF">
      <w:pPr>
        <w:jc w:val="both"/>
      </w:pPr>
      <w:r>
        <w:t xml:space="preserve">Cytostatic treatment, </w:t>
      </w:r>
      <w:r w:rsidRPr="007E36AF">
        <w:t>medicaments</w:t>
      </w:r>
      <w:r>
        <w:t xml:space="preserve">, mechanism of action, toxicity. Immunotherapy, </w:t>
      </w:r>
      <w:r w:rsidRPr="007E36AF">
        <w:t>medicaments</w:t>
      </w:r>
      <w:r>
        <w:t>, mechanism of action, toxicity. Hormone therapy, mechanism of action, toxicity. Supportive treatment in oncology</w:t>
      </w:r>
      <w:r w:rsidRPr="006206F3">
        <w:t>, growth factors.</w:t>
      </w:r>
    </w:p>
    <w:p w:rsidR="006E5438" w:rsidRPr="006206F3" w:rsidRDefault="006E5438" w:rsidP="007E36AF">
      <w:pPr>
        <w:jc w:val="both"/>
      </w:pPr>
    </w:p>
    <w:tbl>
      <w:tblPr>
        <w:tblStyle w:val="Mkatabulky"/>
        <w:tblW w:w="0" w:type="auto"/>
        <w:tblLook w:val="04A0" w:firstRow="1" w:lastRow="0" w:firstColumn="1" w:lastColumn="0" w:noHBand="0" w:noVBand="1"/>
      </w:tblPr>
      <w:tblGrid>
        <w:gridCol w:w="528"/>
        <w:gridCol w:w="1090"/>
        <w:gridCol w:w="929"/>
        <w:gridCol w:w="992"/>
        <w:gridCol w:w="2693"/>
        <w:gridCol w:w="2830"/>
      </w:tblGrid>
      <w:tr w:rsidR="00ED3EA6" w:rsidRPr="006206F3" w:rsidTr="00ED3EA6">
        <w:trPr>
          <w:trHeight w:val="300"/>
        </w:trPr>
        <w:tc>
          <w:tcPr>
            <w:tcW w:w="528" w:type="dxa"/>
            <w:vAlign w:val="center"/>
            <w:hideMark/>
          </w:tcPr>
          <w:p w:rsidR="00ED3EA6" w:rsidRPr="006206F3" w:rsidRDefault="00ED3EA6" w:rsidP="00ED3EA6">
            <w:pPr>
              <w:jc w:val="center"/>
            </w:pPr>
            <w:r w:rsidRPr="006206F3">
              <w:t>12</w:t>
            </w:r>
          </w:p>
        </w:tc>
        <w:tc>
          <w:tcPr>
            <w:tcW w:w="1090" w:type="dxa"/>
            <w:vAlign w:val="center"/>
            <w:hideMark/>
          </w:tcPr>
          <w:p w:rsidR="00ED3EA6" w:rsidRPr="006206F3" w:rsidRDefault="00ED3EA6" w:rsidP="00ED3EA6">
            <w:pPr>
              <w:jc w:val="center"/>
            </w:pPr>
            <w:r w:rsidRPr="006206F3">
              <w:t>Moodle</w:t>
            </w:r>
          </w:p>
        </w:tc>
        <w:tc>
          <w:tcPr>
            <w:tcW w:w="929" w:type="dxa"/>
            <w:vAlign w:val="center"/>
            <w:hideMark/>
          </w:tcPr>
          <w:p w:rsidR="00ED3EA6" w:rsidRPr="006206F3" w:rsidRDefault="00ED3EA6" w:rsidP="00ED3EA6">
            <w:pPr>
              <w:jc w:val="center"/>
            </w:pPr>
            <w:r w:rsidRPr="006206F3">
              <w:t>16.11.</w:t>
            </w:r>
          </w:p>
        </w:tc>
        <w:tc>
          <w:tcPr>
            <w:tcW w:w="992" w:type="dxa"/>
            <w:vAlign w:val="center"/>
            <w:hideMark/>
          </w:tcPr>
          <w:p w:rsidR="00ED3EA6" w:rsidRPr="006206F3" w:rsidRDefault="00ED3EA6" w:rsidP="00ED3EA6">
            <w:pPr>
              <w:jc w:val="center"/>
            </w:pPr>
            <w:r w:rsidRPr="006206F3">
              <w:t>Česky</w:t>
            </w:r>
          </w:p>
        </w:tc>
        <w:tc>
          <w:tcPr>
            <w:tcW w:w="2693" w:type="dxa"/>
            <w:vAlign w:val="center"/>
            <w:hideMark/>
          </w:tcPr>
          <w:p w:rsidR="00ED3EA6" w:rsidRPr="006206F3" w:rsidRDefault="00ED3EA6" w:rsidP="00ED3EA6">
            <w:pPr>
              <w:jc w:val="center"/>
            </w:pPr>
            <w:r w:rsidRPr="006206F3">
              <w:t>KONTRASTNÍ LÁTKY A RADIOFARMAKA</w:t>
            </w:r>
          </w:p>
        </w:tc>
        <w:tc>
          <w:tcPr>
            <w:tcW w:w="2830" w:type="dxa"/>
            <w:vAlign w:val="center"/>
            <w:hideMark/>
          </w:tcPr>
          <w:p w:rsidR="00ED3EA6" w:rsidRPr="006206F3" w:rsidRDefault="00ED3EA6" w:rsidP="00ED3EA6">
            <w:pPr>
              <w:jc w:val="center"/>
            </w:pPr>
            <w:r w:rsidRPr="006206F3">
              <w:t>prof. MUDr. Jiří Ferda, Ph.D.</w:t>
            </w:r>
          </w:p>
        </w:tc>
      </w:tr>
    </w:tbl>
    <w:p w:rsidR="00141FA2" w:rsidRDefault="00141FA2" w:rsidP="00A128E9">
      <w:pPr>
        <w:jc w:val="both"/>
      </w:pPr>
      <w:r>
        <w:t xml:space="preserve">Obecný pojem kontrastní látky, pozitivní a negativní kontrastní látky, způsob podání, farmakokinetika. Jódové kontrastní látky – olejové, hydrosolubilní, nefrotropní, hepatotropní, koncentrace jódu, osmolarita. Použití jódových kontrastních látek a způsoby podání, kontraindikace jódových kontrastních látek, nežádoucí účinky jodových kontrastních látek, nefrotoxicita, protekce ledvin před podáním jódových kontrastních látek.  Kontrastní látky baryové, indikace a kontraindikace baryových kontrastních látek.  Negativní kontrastní látky pro enterální použití – koloidní roztoky, roztoky cukerných alkoholů. Použití plynných k.l. Kontrastní látky pro magneticku rezonanci – gadoliniové (lineární a makrocyklické, hepatospecifické), s obsahem železa a manganu. Kontraindikace  gadoliniové kontrastní látky. Ultrasonografické kontrastní látky. </w:t>
      </w:r>
    </w:p>
    <w:p w:rsidR="00141FA2" w:rsidRDefault="00141FA2" w:rsidP="00A128E9">
      <w:pPr>
        <w:jc w:val="both"/>
      </w:pPr>
      <w:r>
        <w:t>Radiofarmaka, obecný princip radiofarmaka, radiofarmaka pro scintigrafii s gama rozpadem, radiofarmaka pro pozitronovou emisní tomografii, radiofarmaka pro terapii s rozpadem alfa a beta minus. Příprava radiofarmaka, radionuklidové generátory. Typy radiofarmak z hlediska složení a způsobu aplikace – metabolická analoga, značené peptidy, koloidy, plyny, aerosol. Radiační ochrana a zacházení s pacientem s podaným radiofarmakem, eliminace radiofarmaka. Theranostický princip.</w:t>
      </w:r>
    </w:p>
    <w:p w:rsidR="006E5438" w:rsidRPr="006206F3" w:rsidRDefault="006E5438" w:rsidP="007E36AF">
      <w:pPr>
        <w:jc w:val="both"/>
      </w:pPr>
    </w:p>
    <w:tbl>
      <w:tblPr>
        <w:tblStyle w:val="Mkatabulky"/>
        <w:tblW w:w="0" w:type="auto"/>
        <w:tblLook w:val="04A0" w:firstRow="1" w:lastRow="0" w:firstColumn="1" w:lastColumn="0" w:noHBand="0" w:noVBand="1"/>
      </w:tblPr>
      <w:tblGrid>
        <w:gridCol w:w="581"/>
        <w:gridCol w:w="1061"/>
        <w:gridCol w:w="905"/>
        <w:gridCol w:w="992"/>
        <w:gridCol w:w="2693"/>
        <w:gridCol w:w="2830"/>
      </w:tblGrid>
      <w:tr w:rsidR="006206F3" w:rsidRPr="006206F3" w:rsidTr="00ED3EA6">
        <w:trPr>
          <w:trHeight w:val="600"/>
        </w:trPr>
        <w:tc>
          <w:tcPr>
            <w:tcW w:w="581" w:type="dxa"/>
            <w:vAlign w:val="center"/>
            <w:hideMark/>
          </w:tcPr>
          <w:p w:rsidR="00ED3EA6" w:rsidRPr="006206F3" w:rsidRDefault="00ED3EA6" w:rsidP="00ED3EA6">
            <w:pPr>
              <w:jc w:val="center"/>
            </w:pPr>
            <w:r w:rsidRPr="006206F3">
              <w:t>12A</w:t>
            </w:r>
          </w:p>
        </w:tc>
        <w:tc>
          <w:tcPr>
            <w:tcW w:w="1061" w:type="dxa"/>
            <w:vAlign w:val="center"/>
            <w:hideMark/>
          </w:tcPr>
          <w:p w:rsidR="00ED3EA6" w:rsidRPr="006206F3" w:rsidRDefault="00ED3EA6" w:rsidP="00ED3EA6">
            <w:pPr>
              <w:jc w:val="center"/>
            </w:pPr>
            <w:r w:rsidRPr="006206F3">
              <w:t>Moodle</w:t>
            </w:r>
          </w:p>
        </w:tc>
        <w:tc>
          <w:tcPr>
            <w:tcW w:w="905" w:type="dxa"/>
            <w:vAlign w:val="center"/>
            <w:hideMark/>
          </w:tcPr>
          <w:p w:rsidR="00ED3EA6" w:rsidRPr="006206F3" w:rsidRDefault="00ED3EA6" w:rsidP="00ED3EA6">
            <w:pPr>
              <w:jc w:val="center"/>
            </w:pPr>
            <w:r w:rsidRPr="006206F3">
              <w:t>18.11.</w:t>
            </w:r>
          </w:p>
        </w:tc>
        <w:tc>
          <w:tcPr>
            <w:tcW w:w="992" w:type="dxa"/>
            <w:vAlign w:val="center"/>
            <w:hideMark/>
          </w:tcPr>
          <w:p w:rsidR="00ED3EA6" w:rsidRPr="006206F3" w:rsidRDefault="00ED3EA6" w:rsidP="00ED3EA6">
            <w:pPr>
              <w:jc w:val="center"/>
            </w:pPr>
            <w:r w:rsidRPr="006206F3">
              <w:t>English</w:t>
            </w:r>
          </w:p>
        </w:tc>
        <w:tc>
          <w:tcPr>
            <w:tcW w:w="2693" w:type="dxa"/>
            <w:vAlign w:val="center"/>
            <w:hideMark/>
          </w:tcPr>
          <w:p w:rsidR="00ED3EA6" w:rsidRPr="006206F3" w:rsidRDefault="00ED3EA6" w:rsidP="00ED3EA6">
            <w:pPr>
              <w:jc w:val="center"/>
            </w:pPr>
            <w:r w:rsidRPr="006206F3">
              <w:t>CONTRAST AGENTS AND RADIOPHARMACEUTICALS</w:t>
            </w:r>
          </w:p>
        </w:tc>
        <w:tc>
          <w:tcPr>
            <w:tcW w:w="2830" w:type="dxa"/>
            <w:vAlign w:val="center"/>
            <w:hideMark/>
          </w:tcPr>
          <w:p w:rsidR="00ED3EA6" w:rsidRPr="006206F3" w:rsidRDefault="00ED3EA6" w:rsidP="00ED3EA6">
            <w:pPr>
              <w:jc w:val="center"/>
            </w:pPr>
            <w:r w:rsidRPr="006206F3">
              <w:t>prof. MUDr. Jiří Ferda, Ph.D.</w:t>
            </w:r>
          </w:p>
        </w:tc>
      </w:tr>
    </w:tbl>
    <w:p w:rsidR="00141FA2" w:rsidRDefault="00141FA2" w:rsidP="00A128E9">
      <w:pPr>
        <w:jc w:val="both"/>
        <w:rPr>
          <w:lang w:val="en-US"/>
        </w:rPr>
      </w:pPr>
      <w:r>
        <w:rPr>
          <w:lang w:val="en-US"/>
        </w:rPr>
        <w:t xml:space="preserve">General overview of the acting principle, positive and negative agents, the way of administration, pharmacokinetics. Iodine contrast materials, oil-based, hydro soluble </w:t>
      </w:r>
      <w:proofErr w:type="spellStart"/>
      <w:r>
        <w:rPr>
          <w:lang w:val="en-US"/>
        </w:rPr>
        <w:t>nephrotropic</w:t>
      </w:r>
      <w:proofErr w:type="spellEnd"/>
      <w:r>
        <w:rPr>
          <w:lang w:val="en-US"/>
        </w:rPr>
        <w:t xml:space="preserve"> and </w:t>
      </w:r>
      <w:proofErr w:type="spellStart"/>
      <w:r>
        <w:rPr>
          <w:lang w:val="en-US"/>
        </w:rPr>
        <w:t>hepatotropic</w:t>
      </w:r>
      <w:proofErr w:type="spellEnd"/>
      <w:r>
        <w:rPr>
          <w:lang w:val="en-US"/>
        </w:rPr>
        <w:t xml:space="preserve"> excretion, iodine concentration, osmolality. Use of iodinated contrast materials, the way of administration, contraindications, nephrotoxicity, kidney protection. Barium based contrast materials, indication and contraindications. Negative contrast agents for enteral use, gases used in radiology. Contrast materials used in magnetic resonance imaging – gadolinium containing (linear, macrocyclic, </w:t>
      </w:r>
      <w:proofErr w:type="spellStart"/>
      <w:r>
        <w:rPr>
          <w:lang w:val="en-US"/>
        </w:rPr>
        <w:t>hepatospecific</w:t>
      </w:r>
      <w:proofErr w:type="spellEnd"/>
      <w:r>
        <w:rPr>
          <w:lang w:val="en-US"/>
        </w:rPr>
        <w:t>), iron and manganese based. Contraindication of gadolinium based contrast material.  Ultrasonographic contrast materials.</w:t>
      </w:r>
    </w:p>
    <w:p w:rsidR="00141FA2" w:rsidRPr="00231BB5" w:rsidRDefault="00141FA2" w:rsidP="00A128E9">
      <w:pPr>
        <w:jc w:val="both"/>
        <w:rPr>
          <w:lang w:val="en-US"/>
        </w:rPr>
      </w:pPr>
      <w:r>
        <w:rPr>
          <w:lang w:val="en-US"/>
        </w:rPr>
        <w:t xml:space="preserve">Radiopharmaceuticals, general principle, radiopharmaceuticals  in scintigraphy with gamma decay, radiopharmaceutical for positron emission tomography,  radiopharmaceuticals in therapy using alpha and beta minus decays.  Preparation of radiopharmaceutical, radionuclide generators. Types of radiopharmaceuticals from the point of view of constitution, acting and use – metabolic analog, </w:t>
      </w:r>
      <w:r>
        <w:rPr>
          <w:lang w:val="en-US"/>
        </w:rPr>
        <w:lastRenderedPageBreak/>
        <w:t xml:space="preserve">labeled peptides, colloids, gases, aerosol. Radiation protection and safety, handling with the patient after application of the radiopharmaceutical, radiopharmaceutical elimination. </w:t>
      </w:r>
      <w:proofErr w:type="spellStart"/>
      <w:r>
        <w:rPr>
          <w:lang w:val="en-US"/>
        </w:rPr>
        <w:t>Theranostic</w:t>
      </w:r>
      <w:proofErr w:type="spellEnd"/>
      <w:r>
        <w:rPr>
          <w:lang w:val="en-US"/>
        </w:rPr>
        <w:t xml:space="preserve"> principle.</w:t>
      </w:r>
    </w:p>
    <w:p w:rsidR="006E5438" w:rsidRDefault="006E5438" w:rsidP="007E36AF">
      <w:pPr>
        <w:jc w:val="both"/>
      </w:pPr>
    </w:p>
    <w:tbl>
      <w:tblPr>
        <w:tblStyle w:val="Mkatabulky"/>
        <w:tblW w:w="0" w:type="auto"/>
        <w:tblLook w:val="04A0" w:firstRow="1" w:lastRow="0" w:firstColumn="1" w:lastColumn="0" w:noHBand="0" w:noVBand="1"/>
      </w:tblPr>
      <w:tblGrid>
        <w:gridCol w:w="531"/>
        <w:gridCol w:w="1099"/>
        <w:gridCol w:w="1177"/>
        <w:gridCol w:w="884"/>
        <w:gridCol w:w="2842"/>
        <w:gridCol w:w="2529"/>
      </w:tblGrid>
      <w:tr w:rsidR="00EA1339" w:rsidRPr="00EA1339" w:rsidTr="00286B6A">
        <w:trPr>
          <w:trHeight w:val="600"/>
        </w:trPr>
        <w:tc>
          <w:tcPr>
            <w:tcW w:w="531" w:type="dxa"/>
            <w:vAlign w:val="center"/>
            <w:hideMark/>
          </w:tcPr>
          <w:p w:rsidR="00EA1339" w:rsidRPr="00EA1339" w:rsidRDefault="00EA1339" w:rsidP="00EA1339">
            <w:pPr>
              <w:jc w:val="center"/>
            </w:pPr>
            <w:r w:rsidRPr="00EA1339">
              <w:t>13</w:t>
            </w:r>
          </w:p>
        </w:tc>
        <w:tc>
          <w:tcPr>
            <w:tcW w:w="1099" w:type="dxa"/>
            <w:vAlign w:val="center"/>
            <w:hideMark/>
          </w:tcPr>
          <w:p w:rsidR="00EA1339" w:rsidRPr="00EA1339" w:rsidRDefault="00EA1339" w:rsidP="00EA1339">
            <w:pPr>
              <w:jc w:val="center"/>
            </w:pPr>
            <w:r w:rsidRPr="00EA1339">
              <w:t>Moodle</w:t>
            </w:r>
          </w:p>
        </w:tc>
        <w:tc>
          <w:tcPr>
            <w:tcW w:w="1177" w:type="dxa"/>
            <w:vAlign w:val="center"/>
            <w:hideMark/>
          </w:tcPr>
          <w:p w:rsidR="00EA1339" w:rsidRPr="00EA1339" w:rsidRDefault="00EA1339" w:rsidP="00EA1339">
            <w:pPr>
              <w:jc w:val="center"/>
            </w:pPr>
            <w:r w:rsidRPr="00EA1339">
              <w:t>23.11.</w:t>
            </w:r>
          </w:p>
        </w:tc>
        <w:tc>
          <w:tcPr>
            <w:tcW w:w="884" w:type="dxa"/>
            <w:vAlign w:val="center"/>
            <w:hideMark/>
          </w:tcPr>
          <w:p w:rsidR="00EA1339" w:rsidRPr="00EA1339" w:rsidRDefault="00EA1339" w:rsidP="00EA1339">
            <w:pPr>
              <w:jc w:val="center"/>
            </w:pPr>
            <w:r w:rsidRPr="00EA1339">
              <w:t>Česky</w:t>
            </w:r>
          </w:p>
        </w:tc>
        <w:tc>
          <w:tcPr>
            <w:tcW w:w="2842" w:type="dxa"/>
            <w:vAlign w:val="center"/>
            <w:hideMark/>
          </w:tcPr>
          <w:p w:rsidR="00EA1339" w:rsidRPr="00EA1339" w:rsidRDefault="00EA1339" w:rsidP="00EA1339">
            <w:pPr>
              <w:jc w:val="center"/>
            </w:pPr>
            <w:r w:rsidRPr="00EA1339">
              <w:t xml:space="preserve">LÉKY POUŽÍVANÉ </w:t>
            </w:r>
            <w:r w:rsidR="00286B6A">
              <w:t>K</w:t>
            </w:r>
            <w:r w:rsidRPr="00EA1339">
              <w:t xml:space="preserve"> LÉČBĚ AKUTNÍ A CHRONICKÉ BOLESTI</w:t>
            </w:r>
          </w:p>
        </w:tc>
        <w:tc>
          <w:tcPr>
            <w:tcW w:w="2529" w:type="dxa"/>
            <w:vAlign w:val="center"/>
            <w:hideMark/>
          </w:tcPr>
          <w:p w:rsidR="00286B6A" w:rsidRDefault="00286B6A" w:rsidP="00286B6A">
            <w:pPr>
              <w:jc w:val="center"/>
            </w:pPr>
            <w:r>
              <w:t xml:space="preserve">MUDr. Michal Štengl </w:t>
            </w:r>
          </w:p>
          <w:p w:rsidR="00EA1339" w:rsidRPr="00EA1339" w:rsidRDefault="00286B6A" w:rsidP="00286B6A">
            <w:pPr>
              <w:jc w:val="center"/>
            </w:pPr>
            <w:r>
              <w:t>MUDr. Stanislav Machart</w:t>
            </w:r>
          </w:p>
        </w:tc>
      </w:tr>
    </w:tbl>
    <w:p w:rsidR="00EA1339" w:rsidRDefault="00286B6A" w:rsidP="00EA1339">
      <w:r>
        <w:rPr>
          <w:rFonts w:ascii="Calibri" w:hAnsi="Calibri" w:cs="Calibri"/>
        </w:rPr>
        <w:t>Rozdíl mezi akutní a chronickou bolestí, principy léčby akutní a chronické bolesti. Taktika vedení léčby akutní i chronické bolesti. Neopiátová analgetika, slabé a silné opioidy a kanabinoidy v léčbě bolesti. Indikace, kontraindikace, způsoby podání, principy působení, účinky a vedlejší účinky. Ko-analgetika a adjuvantní léky užívané k léčbě bolesti, indikace, kontrandikace a vedlejší účinky. Léky používané k intervenční analgezii.</w:t>
      </w:r>
    </w:p>
    <w:p w:rsidR="00EA1339" w:rsidRDefault="00EA1339" w:rsidP="00EA1339"/>
    <w:tbl>
      <w:tblPr>
        <w:tblStyle w:val="Mkatabulky"/>
        <w:tblW w:w="0" w:type="auto"/>
        <w:tblLook w:val="04A0" w:firstRow="1" w:lastRow="0" w:firstColumn="1" w:lastColumn="0" w:noHBand="0" w:noVBand="1"/>
      </w:tblPr>
      <w:tblGrid>
        <w:gridCol w:w="583"/>
        <w:gridCol w:w="1074"/>
        <w:gridCol w:w="1124"/>
        <w:gridCol w:w="922"/>
        <w:gridCol w:w="2813"/>
        <w:gridCol w:w="2546"/>
      </w:tblGrid>
      <w:tr w:rsidR="00EA1339" w:rsidRPr="00EA1339" w:rsidTr="00286B6A">
        <w:trPr>
          <w:trHeight w:val="600"/>
        </w:trPr>
        <w:tc>
          <w:tcPr>
            <w:tcW w:w="583" w:type="dxa"/>
            <w:vAlign w:val="center"/>
            <w:hideMark/>
          </w:tcPr>
          <w:p w:rsidR="00EA1339" w:rsidRPr="00EA1339" w:rsidRDefault="00EA1339" w:rsidP="00EA1339">
            <w:pPr>
              <w:jc w:val="center"/>
            </w:pPr>
            <w:r w:rsidRPr="00EA1339">
              <w:t>13A</w:t>
            </w:r>
          </w:p>
        </w:tc>
        <w:tc>
          <w:tcPr>
            <w:tcW w:w="1074" w:type="dxa"/>
            <w:vAlign w:val="center"/>
            <w:hideMark/>
          </w:tcPr>
          <w:p w:rsidR="00EA1339" w:rsidRPr="00EA1339" w:rsidRDefault="00EA1339" w:rsidP="00EA1339">
            <w:pPr>
              <w:jc w:val="center"/>
            </w:pPr>
            <w:r w:rsidRPr="00EA1339">
              <w:t>Moodle</w:t>
            </w:r>
          </w:p>
        </w:tc>
        <w:tc>
          <w:tcPr>
            <w:tcW w:w="1124" w:type="dxa"/>
            <w:vAlign w:val="center"/>
            <w:hideMark/>
          </w:tcPr>
          <w:p w:rsidR="00EA1339" w:rsidRPr="00EA1339" w:rsidRDefault="00EA1339" w:rsidP="00EA1339">
            <w:pPr>
              <w:jc w:val="center"/>
            </w:pPr>
            <w:r w:rsidRPr="00EA1339">
              <w:t>25.11.</w:t>
            </w:r>
          </w:p>
        </w:tc>
        <w:tc>
          <w:tcPr>
            <w:tcW w:w="922" w:type="dxa"/>
            <w:vAlign w:val="center"/>
            <w:hideMark/>
          </w:tcPr>
          <w:p w:rsidR="00EA1339" w:rsidRPr="00EA1339" w:rsidRDefault="00EA1339" w:rsidP="00EA1339">
            <w:pPr>
              <w:jc w:val="center"/>
            </w:pPr>
            <w:r w:rsidRPr="00EA1339">
              <w:t>English</w:t>
            </w:r>
          </w:p>
        </w:tc>
        <w:tc>
          <w:tcPr>
            <w:tcW w:w="2813" w:type="dxa"/>
            <w:vAlign w:val="center"/>
            <w:hideMark/>
          </w:tcPr>
          <w:p w:rsidR="00EA1339" w:rsidRPr="00EA1339" w:rsidRDefault="00EA1339" w:rsidP="00EA1339">
            <w:pPr>
              <w:jc w:val="center"/>
            </w:pPr>
            <w:r w:rsidRPr="00EA1339">
              <w:t>PHARMACOTHERAPY USED TO TREAT ACUTE AND CHRONIC PAIN</w:t>
            </w:r>
          </w:p>
        </w:tc>
        <w:tc>
          <w:tcPr>
            <w:tcW w:w="2546" w:type="dxa"/>
            <w:vAlign w:val="center"/>
            <w:hideMark/>
          </w:tcPr>
          <w:p w:rsidR="00286B6A" w:rsidRDefault="00286B6A" w:rsidP="00286B6A">
            <w:pPr>
              <w:jc w:val="center"/>
            </w:pPr>
            <w:r>
              <w:t xml:space="preserve">MUDr. Michal Štengl </w:t>
            </w:r>
          </w:p>
          <w:p w:rsidR="00EA1339" w:rsidRPr="00EA1339" w:rsidRDefault="00286B6A" w:rsidP="00286B6A">
            <w:pPr>
              <w:jc w:val="center"/>
            </w:pPr>
            <w:r>
              <w:t>MUDr. Stanislav Machart</w:t>
            </w:r>
          </w:p>
        </w:tc>
      </w:tr>
    </w:tbl>
    <w:p w:rsidR="00EA1339" w:rsidRDefault="00286B6A" w:rsidP="007E36AF">
      <w:pPr>
        <w:jc w:val="both"/>
      </w:pPr>
      <w:r>
        <w:rPr>
          <w:rFonts w:ascii="Calibri" w:hAnsi="Calibri" w:cs="Calibri"/>
        </w:rPr>
        <w:t>Difference between acut and chronic pain, principles of acut and chronic pain treatment. Tactics of management acut and chronic pain. Non-opioid analgetics, week and strong opioids and canabinoids in pain treatment. Indications, contraindications, way of administration, principles of action, effects and side effects. Co-analgetics and adjuvant terapy used in pain treatment, indications, contraindications and side effects. Drugs used for interventional analgesia.</w:t>
      </w:r>
    </w:p>
    <w:p w:rsidR="00EA1339" w:rsidRDefault="00EA1339" w:rsidP="007E36AF">
      <w:pPr>
        <w:jc w:val="both"/>
      </w:pPr>
    </w:p>
    <w:sectPr w:rsidR="00EA1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7003C"/>
    <w:multiLevelType w:val="hybridMultilevel"/>
    <w:tmpl w:val="1D280D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1B9628D"/>
    <w:multiLevelType w:val="hybridMultilevel"/>
    <w:tmpl w:val="1D280D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D4"/>
    <w:rsid w:val="0002569D"/>
    <w:rsid w:val="000459C7"/>
    <w:rsid w:val="000507AA"/>
    <w:rsid w:val="00053FF6"/>
    <w:rsid w:val="000B68D7"/>
    <w:rsid w:val="00141FA2"/>
    <w:rsid w:val="00200CDB"/>
    <w:rsid w:val="00286B6A"/>
    <w:rsid w:val="002A7924"/>
    <w:rsid w:val="002B0098"/>
    <w:rsid w:val="002B18BE"/>
    <w:rsid w:val="002D72A7"/>
    <w:rsid w:val="00310990"/>
    <w:rsid w:val="004747E4"/>
    <w:rsid w:val="00497110"/>
    <w:rsid w:val="004D311F"/>
    <w:rsid w:val="004D72E7"/>
    <w:rsid w:val="005321C9"/>
    <w:rsid w:val="00596DCC"/>
    <w:rsid w:val="005B1B23"/>
    <w:rsid w:val="005E6F03"/>
    <w:rsid w:val="006206F3"/>
    <w:rsid w:val="00627BE9"/>
    <w:rsid w:val="006522DE"/>
    <w:rsid w:val="00660163"/>
    <w:rsid w:val="00680ECD"/>
    <w:rsid w:val="006A76D2"/>
    <w:rsid w:val="006E5438"/>
    <w:rsid w:val="006E721C"/>
    <w:rsid w:val="007E36AF"/>
    <w:rsid w:val="008039F8"/>
    <w:rsid w:val="00877E71"/>
    <w:rsid w:val="008909E5"/>
    <w:rsid w:val="00894F4F"/>
    <w:rsid w:val="008C7308"/>
    <w:rsid w:val="008E153C"/>
    <w:rsid w:val="009320B3"/>
    <w:rsid w:val="009A5682"/>
    <w:rsid w:val="00A128E9"/>
    <w:rsid w:val="00A3485F"/>
    <w:rsid w:val="00A40007"/>
    <w:rsid w:val="00A57ECF"/>
    <w:rsid w:val="00B14F35"/>
    <w:rsid w:val="00B15745"/>
    <w:rsid w:val="00BC44A1"/>
    <w:rsid w:val="00BD26F4"/>
    <w:rsid w:val="00C133D4"/>
    <w:rsid w:val="00C26425"/>
    <w:rsid w:val="00C635B1"/>
    <w:rsid w:val="00CA67F7"/>
    <w:rsid w:val="00D208EF"/>
    <w:rsid w:val="00D846C3"/>
    <w:rsid w:val="00D9002D"/>
    <w:rsid w:val="00DC5914"/>
    <w:rsid w:val="00E14628"/>
    <w:rsid w:val="00E31CE5"/>
    <w:rsid w:val="00EA1339"/>
    <w:rsid w:val="00ED3EA6"/>
    <w:rsid w:val="00ED5C34"/>
    <w:rsid w:val="00F56C63"/>
    <w:rsid w:val="00F870FA"/>
    <w:rsid w:val="00FD1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B9571-70EA-49F0-84A4-3BADD495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1B23"/>
    <w:pPr>
      <w:ind w:left="720"/>
      <w:contextualSpacing/>
    </w:pPr>
  </w:style>
  <w:style w:type="table" w:styleId="Mkatabulky">
    <w:name w:val="Table Grid"/>
    <w:basedOn w:val="Normlntabulka"/>
    <w:uiPriority w:val="39"/>
    <w:rsid w:val="00474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7768">
      <w:bodyDiv w:val="1"/>
      <w:marLeft w:val="0"/>
      <w:marRight w:val="0"/>
      <w:marTop w:val="0"/>
      <w:marBottom w:val="0"/>
      <w:divBdr>
        <w:top w:val="none" w:sz="0" w:space="0" w:color="auto"/>
        <w:left w:val="none" w:sz="0" w:space="0" w:color="auto"/>
        <w:bottom w:val="none" w:sz="0" w:space="0" w:color="auto"/>
        <w:right w:val="none" w:sz="0" w:space="0" w:color="auto"/>
      </w:divBdr>
    </w:div>
    <w:div w:id="111478312">
      <w:bodyDiv w:val="1"/>
      <w:marLeft w:val="0"/>
      <w:marRight w:val="0"/>
      <w:marTop w:val="0"/>
      <w:marBottom w:val="0"/>
      <w:divBdr>
        <w:top w:val="none" w:sz="0" w:space="0" w:color="auto"/>
        <w:left w:val="none" w:sz="0" w:space="0" w:color="auto"/>
        <w:bottom w:val="none" w:sz="0" w:space="0" w:color="auto"/>
        <w:right w:val="none" w:sz="0" w:space="0" w:color="auto"/>
      </w:divBdr>
    </w:div>
    <w:div w:id="207187362">
      <w:bodyDiv w:val="1"/>
      <w:marLeft w:val="0"/>
      <w:marRight w:val="0"/>
      <w:marTop w:val="0"/>
      <w:marBottom w:val="0"/>
      <w:divBdr>
        <w:top w:val="none" w:sz="0" w:space="0" w:color="auto"/>
        <w:left w:val="none" w:sz="0" w:space="0" w:color="auto"/>
        <w:bottom w:val="none" w:sz="0" w:space="0" w:color="auto"/>
        <w:right w:val="none" w:sz="0" w:space="0" w:color="auto"/>
      </w:divBdr>
    </w:div>
    <w:div w:id="247349354">
      <w:bodyDiv w:val="1"/>
      <w:marLeft w:val="0"/>
      <w:marRight w:val="0"/>
      <w:marTop w:val="0"/>
      <w:marBottom w:val="0"/>
      <w:divBdr>
        <w:top w:val="none" w:sz="0" w:space="0" w:color="auto"/>
        <w:left w:val="none" w:sz="0" w:space="0" w:color="auto"/>
        <w:bottom w:val="none" w:sz="0" w:space="0" w:color="auto"/>
        <w:right w:val="none" w:sz="0" w:space="0" w:color="auto"/>
      </w:divBdr>
    </w:div>
    <w:div w:id="341903680">
      <w:bodyDiv w:val="1"/>
      <w:marLeft w:val="0"/>
      <w:marRight w:val="0"/>
      <w:marTop w:val="0"/>
      <w:marBottom w:val="0"/>
      <w:divBdr>
        <w:top w:val="none" w:sz="0" w:space="0" w:color="auto"/>
        <w:left w:val="none" w:sz="0" w:space="0" w:color="auto"/>
        <w:bottom w:val="none" w:sz="0" w:space="0" w:color="auto"/>
        <w:right w:val="none" w:sz="0" w:space="0" w:color="auto"/>
      </w:divBdr>
    </w:div>
    <w:div w:id="421071019">
      <w:bodyDiv w:val="1"/>
      <w:marLeft w:val="0"/>
      <w:marRight w:val="0"/>
      <w:marTop w:val="0"/>
      <w:marBottom w:val="0"/>
      <w:divBdr>
        <w:top w:val="none" w:sz="0" w:space="0" w:color="auto"/>
        <w:left w:val="none" w:sz="0" w:space="0" w:color="auto"/>
        <w:bottom w:val="none" w:sz="0" w:space="0" w:color="auto"/>
        <w:right w:val="none" w:sz="0" w:space="0" w:color="auto"/>
      </w:divBdr>
    </w:div>
    <w:div w:id="437216276">
      <w:bodyDiv w:val="1"/>
      <w:marLeft w:val="0"/>
      <w:marRight w:val="0"/>
      <w:marTop w:val="0"/>
      <w:marBottom w:val="0"/>
      <w:divBdr>
        <w:top w:val="none" w:sz="0" w:space="0" w:color="auto"/>
        <w:left w:val="none" w:sz="0" w:space="0" w:color="auto"/>
        <w:bottom w:val="none" w:sz="0" w:space="0" w:color="auto"/>
        <w:right w:val="none" w:sz="0" w:space="0" w:color="auto"/>
      </w:divBdr>
    </w:div>
    <w:div w:id="524951028">
      <w:bodyDiv w:val="1"/>
      <w:marLeft w:val="0"/>
      <w:marRight w:val="0"/>
      <w:marTop w:val="0"/>
      <w:marBottom w:val="0"/>
      <w:divBdr>
        <w:top w:val="none" w:sz="0" w:space="0" w:color="auto"/>
        <w:left w:val="none" w:sz="0" w:space="0" w:color="auto"/>
        <w:bottom w:val="none" w:sz="0" w:space="0" w:color="auto"/>
        <w:right w:val="none" w:sz="0" w:space="0" w:color="auto"/>
      </w:divBdr>
    </w:div>
    <w:div w:id="674725186">
      <w:bodyDiv w:val="1"/>
      <w:marLeft w:val="0"/>
      <w:marRight w:val="0"/>
      <w:marTop w:val="0"/>
      <w:marBottom w:val="0"/>
      <w:divBdr>
        <w:top w:val="none" w:sz="0" w:space="0" w:color="auto"/>
        <w:left w:val="none" w:sz="0" w:space="0" w:color="auto"/>
        <w:bottom w:val="none" w:sz="0" w:space="0" w:color="auto"/>
        <w:right w:val="none" w:sz="0" w:space="0" w:color="auto"/>
      </w:divBdr>
    </w:div>
    <w:div w:id="884175503">
      <w:bodyDiv w:val="1"/>
      <w:marLeft w:val="0"/>
      <w:marRight w:val="0"/>
      <w:marTop w:val="0"/>
      <w:marBottom w:val="0"/>
      <w:divBdr>
        <w:top w:val="none" w:sz="0" w:space="0" w:color="auto"/>
        <w:left w:val="none" w:sz="0" w:space="0" w:color="auto"/>
        <w:bottom w:val="none" w:sz="0" w:space="0" w:color="auto"/>
        <w:right w:val="none" w:sz="0" w:space="0" w:color="auto"/>
      </w:divBdr>
    </w:div>
    <w:div w:id="961767008">
      <w:bodyDiv w:val="1"/>
      <w:marLeft w:val="0"/>
      <w:marRight w:val="0"/>
      <w:marTop w:val="0"/>
      <w:marBottom w:val="0"/>
      <w:divBdr>
        <w:top w:val="none" w:sz="0" w:space="0" w:color="auto"/>
        <w:left w:val="none" w:sz="0" w:space="0" w:color="auto"/>
        <w:bottom w:val="none" w:sz="0" w:space="0" w:color="auto"/>
        <w:right w:val="none" w:sz="0" w:space="0" w:color="auto"/>
      </w:divBdr>
    </w:div>
    <w:div w:id="1045175954">
      <w:bodyDiv w:val="1"/>
      <w:marLeft w:val="0"/>
      <w:marRight w:val="0"/>
      <w:marTop w:val="0"/>
      <w:marBottom w:val="0"/>
      <w:divBdr>
        <w:top w:val="none" w:sz="0" w:space="0" w:color="auto"/>
        <w:left w:val="none" w:sz="0" w:space="0" w:color="auto"/>
        <w:bottom w:val="none" w:sz="0" w:space="0" w:color="auto"/>
        <w:right w:val="none" w:sz="0" w:space="0" w:color="auto"/>
      </w:divBdr>
    </w:div>
    <w:div w:id="1056124485">
      <w:bodyDiv w:val="1"/>
      <w:marLeft w:val="0"/>
      <w:marRight w:val="0"/>
      <w:marTop w:val="0"/>
      <w:marBottom w:val="0"/>
      <w:divBdr>
        <w:top w:val="none" w:sz="0" w:space="0" w:color="auto"/>
        <w:left w:val="none" w:sz="0" w:space="0" w:color="auto"/>
        <w:bottom w:val="none" w:sz="0" w:space="0" w:color="auto"/>
        <w:right w:val="none" w:sz="0" w:space="0" w:color="auto"/>
      </w:divBdr>
    </w:div>
    <w:div w:id="1111778994">
      <w:bodyDiv w:val="1"/>
      <w:marLeft w:val="0"/>
      <w:marRight w:val="0"/>
      <w:marTop w:val="0"/>
      <w:marBottom w:val="0"/>
      <w:divBdr>
        <w:top w:val="none" w:sz="0" w:space="0" w:color="auto"/>
        <w:left w:val="none" w:sz="0" w:space="0" w:color="auto"/>
        <w:bottom w:val="none" w:sz="0" w:space="0" w:color="auto"/>
        <w:right w:val="none" w:sz="0" w:space="0" w:color="auto"/>
      </w:divBdr>
    </w:div>
    <w:div w:id="1134643901">
      <w:bodyDiv w:val="1"/>
      <w:marLeft w:val="0"/>
      <w:marRight w:val="0"/>
      <w:marTop w:val="0"/>
      <w:marBottom w:val="0"/>
      <w:divBdr>
        <w:top w:val="none" w:sz="0" w:space="0" w:color="auto"/>
        <w:left w:val="none" w:sz="0" w:space="0" w:color="auto"/>
        <w:bottom w:val="none" w:sz="0" w:space="0" w:color="auto"/>
        <w:right w:val="none" w:sz="0" w:space="0" w:color="auto"/>
      </w:divBdr>
    </w:div>
    <w:div w:id="1154951877">
      <w:bodyDiv w:val="1"/>
      <w:marLeft w:val="0"/>
      <w:marRight w:val="0"/>
      <w:marTop w:val="0"/>
      <w:marBottom w:val="0"/>
      <w:divBdr>
        <w:top w:val="none" w:sz="0" w:space="0" w:color="auto"/>
        <w:left w:val="none" w:sz="0" w:space="0" w:color="auto"/>
        <w:bottom w:val="none" w:sz="0" w:space="0" w:color="auto"/>
        <w:right w:val="none" w:sz="0" w:space="0" w:color="auto"/>
      </w:divBdr>
    </w:div>
    <w:div w:id="1164082340">
      <w:bodyDiv w:val="1"/>
      <w:marLeft w:val="0"/>
      <w:marRight w:val="0"/>
      <w:marTop w:val="0"/>
      <w:marBottom w:val="0"/>
      <w:divBdr>
        <w:top w:val="none" w:sz="0" w:space="0" w:color="auto"/>
        <w:left w:val="none" w:sz="0" w:space="0" w:color="auto"/>
        <w:bottom w:val="none" w:sz="0" w:space="0" w:color="auto"/>
        <w:right w:val="none" w:sz="0" w:space="0" w:color="auto"/>
      </w:divBdr>
    </w:div>
    <w:div w:id="1332413385">
      <w:bodyDiv w:val="1"/>
      <w:marLeft w:val="0"/>
      <w:marRight w:val="0"/>
      <w:marTop w:val="0"/>
      <w:marBottom w:val="0"/>
      <w:divBdr>
        <w:top w:val="none" w:sz="0" w:space="0" w:color="auto"/>
        <w:left w:val="none" w:sz="0" w:space="0" w:color="auto"/>
        <w:bottom w:val="none" w:sz="0" w:space="0" w:color="auto"/>
        <w:right w:val="none" w:sz="0" w:space="0" w:color="auto"/>
      </w:divBdr>
    </w:div>
    <w:div w:id="1401248300">
      <w:bodyDiv w:val="1"/>
      <w:marLeft w:val="0"/>
      <w:marRight w:val="0"/>
      <w:marTop w:val="0"/>
      <w:marBottom w:val="0"/>
      <w:divBdr>
        <w:top w:val="none" w:sz="0" w:space="0" w:color="auto"/>
        <w:left w:val="none" w:sz="0" w:space="0" w:color="auto"/>
        <w:bottom w:val="none" w:sz="0" w:space="0" w:color="auto"/>
        <w:right w:val="none" w:sz="0" w:space="0" w:color="auto"/>
      </w:divBdr>
    </w:div>
    <w:div w:id="1475371261">
      <w:bodyDiv w:val="1"/>
      <w:marLeft w:val="0"/>
      <w:marRight w:val="0"/>
      <w:marTop w:val="0"/>
      <w:marBottom w:val="0"/>
      <w:divBdr>
        <w:top w:val="none" w:sz="0" w:space="0" w:color="auto"/>
        <w:left w:val="none" w:sz="0" w:space="0" w:color="auto"/>
        <w:bottom w:val="none" w:sz="0" w:space="0" w:color="auto"/>
        <w:right w:val="none" w:sz="0" w:space="0" w:color="auto"/>
      </w:divBdr>
    </w:div>
    <w:div w:id="1488588606">
      <w:bodyDiv w:val="1"/>
      <w:marLeft w:val="0"/>
      <w:marRight w:val="0"/>
      <w:marTop w:val="0"/>
      <w:marBottom w:val="0"/>
      <w:divBdr>
        <w:top w:val="none" w:sz="0" w:space="0" w:color="auto"/>
        <w:left w:val="none" w:sz="0" w:space="0" w:color="auto"/>
        <w:bottom w:val="none" w:sz="0" w:space="0" w:color="auto"/>
        <w:right w:val="none" w:sz="0" w:space="0" w:color="auto"/>
      </w:divBdr>
    </w:div>
    <w:div w:id="1565918954">
      <w:bodyDiv w:val="1"/>
      <w:marLeft w:val="0"/>
      <w:marRight w:val="0"/>
      <w:marTop w:val="0"/>
      <w:marBottom w:val="0"/>
      <w:divBdr>
        <w:top w:val="none" w:sz="0" w:space="0" w:color="auto"/>
        <w:left w:val="none" w:sz="0" w:space="0" w:color="auto"/>
        <w:bottom w:val="none" w:sz="0" w:space="0" w:color="auto"/>
        <w:right w:val="none" w:sz="0" w:space="0" w:color="auto"/>
      </w:divBdr>
    </w:div>
    <w:div w:id="1743216697">
      <w:bodyDiv w:val="1"/>
      <w:marLeft w:val="0"/>
      <w:marRight w:val="0"/>
      <w:marTop w:val="0"/>
      <w:marBottom w:val="0"/>
      <w:divBdr>
        <w:top w:val="none" w:sz="0" w:space="0" w:color="auto"/>
        <w:left w:val="none" w:sz="0" w:space="0" w:color="auto"/>
        <w:bottom w:val="none" w:sz="0" w:space="0" w:color="auto"/>
        <w:right w:val="none" w:sz="0" w:space="0" w:color="auto"/>
      </w:divBdr>
    </w:div>
    <w:div w:id="1814330390">
      <w:bodyDiv w:val="1"/>
      <w:marLeft w:val="0"/>
      <w:marRight w:val="0"/>
      <w:marTop w:val="0"/>
      <w:marBottom w:val="0"/>
      <w:divBdr>
        <w:top w:val="none" w:sz="0" w:space="0" w:color="auto"/>
        <w:left w:val="none" w:sz="0" w:space="0" w:color="auto"/>
        <w:bottom w:val="none" w:sz="0" w:space="0" w:color="auto"/>
        <w:right w:val="none" w:sz="0" w:space="0" w:color="auto"/>
      </w:divBdr>
    </w:div>
    <w:div w:id="1891106928">
      <w:bodyDiv w:val="1"/>
      <w:marLeft w:val="0"/>
      <w:marRight w:val="0"/>
      <w:marTop w:val="0"/>
      <w:marBottom w:val="0"/>
      <w:divBdr>
        <w:top w:val="none" w:sz="0" w:space="0" w:color="auto"/>
        <w:left w:val="none" w:sz="0" w:space="0" w:color="auto"/>
        <w:bottom w:val="none" w:sz="0" w:space="0" w:color="auto"/>
        <w:right w:val="none" w:sz="0" w:space="0" w:color="auto"/>
      </w:divBdr>
    </w:div>
    <w:div w:id="2028827815">
      <w:bodyDiv w:val="1"/>
      <w:marLeft w:val="0"/>
      <w:marRight w:val="0"/>
      <w:marTop w:val="0"/>
      <w:marBottom w:val="0"/>
      <w:divBdr>
        <w:top w:val="none" w:sz="0" w:space="0" w:color="auto"/>
        <w:left w:val="none" w:sz="0" w:space="0" w:color="auto"/>
        <w:bottom w:val="none" w:sz="0" w:space="0" w:color="auto"/>
        <w:right w:val="none" w:sz="0" w:space="0" w:color="auto"/>
      </w:divBdr>
    </w:div>
    <w:div w:id="2091584793">
      <w:bodyDiv w:val="1"/>
      <w:marLeft w:val="0"/>
      <w:marRight w:val="0"/>
      <w:marTop w:val="0"/>
      <w:marBottom w:val="0"/>
      <w:divBdr>
        <w:top w:val="none" w:sz="0" w:space="0" w:color="auto"/>
        <w:left w:val="none" w:sz="0" w:space="0" w:color="auto"/>
        <w:bottom w:val="none" w:sz="0" w:space="0" w:color="auto"/>
        <w:right w:val="none" w:sz="0" w:space="0" w:color="auto"/>
      </w:divBdr>
    </w:div>
    <w:div w:id="2106294020">
      <w:bodyDiv w:val="1"/>
      <w:marLeft w:val="0"/>
      <w:marRight w:val="0"/>
      <w:marTop w:val="0"/>
      <w:marBottom w:val="0"/>
      <w:divBdr>
        <w:top w:val="none" w:sz="0" w:space="0" w:color="auto"/>
        <w:left w:val="none" w:sz="0" w:space="0" w:color="auto"/>
        <w:bottom w:val="none" w:sz="0" w:space="0" w:color="auto"/>
        <w:right w:val="none" w:sz="0" w:space="0" w:color="auto"/>
      </w:divBdr>
    </w:div>
    <w:div w:id="21081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2043</Words>
  <Characters>12056</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ferda</dc:creator>
  <cp:keywords/>
  <dc:description/>
  <cp:lastModifiedBy>Dědečková Eva</cp:lastModifiedBy>
  <cp:revision>2</cp:revision>
  <dcterms:created xsi:type="dcterms:W3CDTF">2020-11-13T11:51:00Z</dcterms:created>
  <dcterms:modified xsi:type="dcterms:W3CDTF">2020-11-13T11:51:00Z</dcterms:modified>
</cp:coreProperties>
</file>